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BED73" w14:textId="77777777" w:rsidR="00AA3A5F" w:rsidRPr="00B25A22" w:rsidRDefault="00AA3A5F" w:rsidP="00AA3A5F">
      <w:pPr>
        <w:pStyle w:val="logo"/>
        <w:rPr>
          <w:rFonts w:ascii="Times New Roman" w:hAnsi="Times New Roman"/>
          <w:lang w:val="cs-CZ"/>
        </w:rPr>
      </w:pPr>
      <w:bookmarkStart w:id="0" w:name="_Hlk94162784"/>
    </w:p>
    <w:p w14:paraId="2BB12447" w14:textId="77777777" w:rsidR="00AA3A5F" w:rsidRPr="00B25A22" w:rsidRDefault="00AA3A5F" w:rsidP="00AA3A5F">
      <w:pPr>
        <w:pStyle w:val="logo"/>
        <w:rPr>
          <w:rFonts w:ascii="Times New Roman" w:hAnsi="Times New Roman"/>
          <w:lang w:val="cs-CZ"/>
        </w:rPr>
      </w:pPr>
      <w:r w:rsidRPr="00B25A22">
        <w:rPr>
          <w:rFonts w:ascii="Times New Roman" w:hAnsi="Times New Roman"/>
          <w:noProof/>
          <w:lang w:val="cs-CZ" w:eastAsia="cs-CZ"/>
        </w:rPr>
        <w:drawing>
          <wp:inline distT="0" distB="0" distL="0" distR="0" wp14:anchorId="2197A9BC" wp14:editId="52576178">
            <wp:extent cx="1478942" cy="609541"/>
            <wp:effectExtent l="0" t="0" r="6985" b="635"/>
            <wp:docPr id="161828019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78942" cy="609541"/>
                    </a:xfrm>
                    <a:prstGeom prst="rect">
                      <a:avLst/>
                    </a:prstGeom>
                  </pic:spPr>
                </pic:pic>
              </a:graphicData>
            </a:graphic>
          </wp:inline>
        </w:drawing>
      </w:r>
    </w:p>
    <w:p w14:paraId="45C986EB" w14:textId="77777777" w:rsidR="00AA3A5F" w:rsidRPr="00B25A22" w:rsidRDefault="00AA3A5F" w:rsidP="00AA3A5F">
      <w:pPr>
        <w:pStyle w:val="UZEI"/>
        <w:rPr>
          <w:rFonts w:ascii="Times New Roman" w:hAnsi="Times New Roman"/>
          <w:lang w:val="cs-CZ"/>
        </w:rPr>
      </w:pPr>
      <w:r w:rsidRPr="00B25A22">
        <w:rPr>
          <w:rFonts w:ascii="Times New Roman" w:hAnsi="Times New Roman"/>
          <w:lang w:val="cs-CZ"/>
        </w:rPr>
        <w:t>Ústav zemědělské ekonomiky a informací</w:t>
      </w:r>
    </w:p>
    <w:p w14:paraId="5F49B804" w14:textId="61BF8129" w:rsidR="00AA3A5F" w:rsidRPr="00B25A22" w:rsidRDefault="00AA3A5F" w:rsidP="00AA3A5F">
      <w:pPr>
        <w:pStyle w:val="st-nazev"/>
        <w:rPr>
          <w:rFonts w:ascii="Times New Roman" w:hAnsi="Times New Roman"/>
        </w:rPr>
      </w:pPr>
      <w:r w:rsidRPr="00B25A22">
        <w:rPr>
          <w:rFonts w:ascii="Times New Roman" w:hAnsi="Times New Roman"/>
        </w:rPr>
        <w:t>PODKLADOVÉ RO PŘÍPRAVU SZP V PROGRAMOVÉM OBDOBÍ 2021+</w:t>
      </w:r>
    </w:p>
    <w:p w14:paraId="2A2558B5" w14:textId="77777777" w:rsidR="00AA3A5F" w:rsidRPr="00B25A22" w:rsidRDefault="00AA3A5F" w:rsidP="00AA3A5F">
      <w:pPr>
        <w:spacing w:before="360"/>
        <w:jc w:val="center"/>
        <w:rPr>
          <w:rFonts w:cs="Times New Roman"/>
          <w:b/>
          <w:lang w:val="cs-CZ"/>
        </w:rPr>
      </w:pPr>
      <w:r w:rsidRPr="00B25A22">
        <w:rPr>
          <w:rFonts w:cs="Times New Roman"/>
          <w:b/>
          <w:lang w:val="cs-CZ"/>
        </w:rPr>
        <w:t>Specifický cíl C: Zlepšení pozice zemědělců v hodnotovém řetězci.</w:t>
      </w:r>
    </w:p>
    <w:p w14:paraId="75C8D6C4" w14:textId="77777777" w:rsidR="00AA3A5F" w:rsidRPr="00B25A22" w:rsidRDefault="00AA3A5F" w:rsidP="00AA3A5F">
      <w:pPr>
        <w:pStyle w:val="st-rok"/>
        <w:spacing w:before="360"/>
      </w:pPr>
    </w:p>
    <w:p w14:paraId="34E41431" w14:textId="77777777" w:rsidR="00AA3A5F" w:rsidRPr="00B25A22" w:rsidRDefault="00AA3A5F" w:rsidP="00AA3A5F">
      <w:pPr>
        <w:rPr>
          <w:rFonts w:cs="Times New Roman"/>
          <w:lang w:val="cs-CZ"/>
        </w:rPr>
      </w:pPr>
    </w:p>
    <w:p w14:paraId="2CE7605D" w14:textId="77777777" w:rsidR="00AA3A5F" w:rsidRPr="00B25A22" w:rsidRDefault="00AA3A5F" w:rsidP="00AA3A5F">
      <w:pPr>
        <w:rPr>
          <w:rFonts w:cs="Times New Roman"/>
          <w:lang w:val="cs-CZ"/>
        </w:rPr>
      </w:pPr>
    </w:p>
    <w:p w14:paraId="43688AFB" w14:textId="77777777" w:rsidR="00AA3A5F" w:rsidRPr="00B25A22" w:rsidRDefault="00AA3A5F" w:rsidP="00AA3A5F">
      <w:pPr>
        <w:jc w:val="center"/>
        <w:rPr>
          <w:rFonts w:cs="Times New Roman"/>
          <w:lang w:val="cs-CZ"/>
        </w:rPr>
      </w:pPr>
      <w:r w:rsidRPr="00B25A22">
        <w:rPr>
          <w:rFonts w:cs="Times New Roman"/>
          <w:lang w:val="cs-CZ"/>
        </w:rPr>
        <w:t>Ing. Iveta Bošková, Ph.D.</w:t>
      </w:r>
    </w:p>
    <w:p w14:paraId="1CA885B2" w14:textId="77777777" w:rsidR="00AA3A5F" w:rsidRPr="00B25A22" w:rsidRDefault="00AA3A5F" w:rsidP="00AA3A5F">
      <w:pPr>
        <w:jc w:val="center"/>
        <w:rPr>
          <w:rFonts w:cs="Times New Roman"/>
          <w:lang w:val="cs-CZ"/>
        </w:rPr>
      </w:pPr>
      <w:r w:rsidRPr="00B25A22">
        <w:rPr>
          <w:rFonts w:cs="Times New Roman"/>
          <w:lang w:val="cs-CZ"/>
        </w:rPr>
        <w:t>a kolektiv autorů odboru Agrární trh</w:t>
      </w:r>
    </w:p>
    <w:p w14:paraId="081DAE39" w14:textId="77777777" w:rsidR="00AA3A5F" w:rsidRPr="00B25A22" w:rsidRDefault="00AA3A5F" w:rsidP="00AA3A5F">
      <w:pPr>
        <w:rPr>
          <w:rFonts w:cs="Times New Roman"/>
          <w:lang w:val="cs-CZ"/>
        </w:rPr>
      </w:pPr>
    </w:p>
    <w:p w14:paraId="75B168CA" w14:textId="77777777" w:rsidR="00AA3A5F" w:rsidRPr="00B25A22" w:rsidRDefault="00AA3A5F" w:rsidP="00AA3A5F">
      <w:pPr>
        <w:rPr>
          <w:rFonts w:cs="Times New Roman"/>
          <w:lang w:val="cs-CZ"/>
        </w:rPr>
      </w:pPr>
    </w:p>
    <w:p w14:paraId="320E1468" w14:textId="77777777" w:rsidR="00AA3A5F" w:rsidRPr="00B25A22" w:rsidRDefault="00AA3A5F" w:rsidP="00AA3A5F">
      <w:pPr>
        <w:rPr>
          <w:rFonts w:cs="Times New Roman"/>
          <w:lang w:val="cs-CZ"/>
        </w:rPr>
      </w:pPr>
    </w:p>
    <w:p w14:paraId="6131998B" w14:textId="77777777" w:rsidR="00AA3A5F" w:rsidRPr="00B25A22" w:rsidRDefault="00AA3A5F" w:rsidP="00AA3A5F">
      <w:pPr>
        <w:rPr>
          <w:rFonts w:cs="Times New Roman"/>
          <w:lang w:val="cs-CZ"/>
        </w:rPr>
      </w:pPr>
    </w:p>
    <w:p w14:paraId="46DC5970" w14:textId="77777777" w:rsidR="00AA3A5F" w:rsidRPr="00B25A22" w:rsidRDefault="00AA3A5F" w:rsidP="00AA3A5F">
      <w:pPr>
        <w:rPr>
          <w:rFonts w:cs="Times New Roman"/>
          <w:lang w:val="cs-CZ"/>
        </w:rPr>
      </w:pPr>
    </w:p>
    <w:p w14:paraId="0E6005C4" w14:textId="77777777" w:rsidR="00AA3A5F" w:rsidRPr="00B25A22" w:rsidRDefault="00AA3A5F" w:rsidP="00AA3A5F">
      <w:pPr>
        <w:rPr>
          <w:rFonts w:cs="Times New Roman"/>
          <w:lang w:val="cs-CZ"/>
        </w:rPr>
      </w:pPr>
    </w:p>
    <w:p w14:paraId="14C9EF25" w14:textId="43279D04" w:rsidR="00AA3A5F" w:rsidRPr="00B25A22" w:rsidRDefault="00AA3A5F" w:rsidP="00AA3A5F">
      <w:pPr>
        <w:jc w:val="center"/>
        <w:rPr>
          <w:rFonts w:cs="Times New Roman"/>
          <w:sz w:val="22"/>
          <w:lang w:val="cs-CZ"/>
        </w:rPr>
        <w:sectPr w:rsidR="00AA3A5F" w:rsidRPr="00B25A22" w:rsidSect="007A68D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NumType w:start="1"/>
          <w:cols w:space="708"/>
          <w:titlePg/>
          <w:docGrid w:linePitch="360"/>
        </w:sectPr>
      </w:pPr>
      <w:r w:rsidRPr="00B25A22">
        <w:rPr>
          <w:rFonts w:cs="Times New Roman"/>
          <w:sz w:val="22"/>
          <w:lang w:val="cs-CZ"/>
        </w:rPr>
        <w:t xml:space="preserve">Praha, </w:t>
      </w:r>
      <w:r w:rsidR="00C75051">
        <w:rPr>
          <w:rFonts w:cs="Times New Roman"/>
          <w:sz w:val="22"/>
          <w:lang w:val="cs-CZ"/>
        </w:rPr>
        <w:t>leden 2022</w:t>
      </w:r>
    </w:p>
    <w:p w14:paraId="21E82819" w14:textId="77777777" w:rsidR="00AA3A5F" w:rsidRPr="00B25A22" w:rsidRDefault="00AA3A5F" w:rsidP="00E032F8">
      <w:pPr>
        <w:pStyle w:val="UZEINormaln"/>
        <w:rPr>
          <w:rFonts w:cs="Times New Roman"/>
          <w:b/>
          <w:bCs/>
        </w:rPr>
      </w:pPr>
      <w:r w:rsidRPr="00B25A22">
        <w:rPr>
          <w:rFonts w:cs="Times New Roman"/>
          <w:b/>
          <w:bCs/>
        </w:rPr>
        <w:lastRenderedPageBreak/>
        <w:t>Autoři:</w:t>
      </w:r>
    </w:p>
    <w:p w14:paraId="62570FC3" w14:textId="77777777" w:rsidR="00AA3A5F" w:rsidRPr="00B25A22" w:rsidRDefault="00AA3A5F" w:rsidP="00E032F8">
      <w:pPr>
        <w:pStyle w:val="UZEINormaln"/>
        <w:rPr>
          <w:rFonts w:cs="Times New Roman"/>
        </w:rPr>
      </w:pPr>
      <w:r w:rsidRPr="00B25A22">
        <w:rPr>
          <w:rFonts w:cs="Times New Roman"/>
        </w:rPr>
        <w:t>Ing. Iveta Bošková, Ph.D.: kap. 1 až 10</w:t>
      </w:r>
    </w:p>
    <w:p w14:paraId="41048D06" w14:textId="77777777" w:rsidR="00AA3A5F" w:rsidRPr="00B25A22" w:rsidRDefault="00AA3A5F" w:rsidP="00E032F8">
      <w:pPr>
        <w:pStyle w:val="UZEINormaln"/>
        <w:rPr>
          <w:rFonts w:cs="Times New Roman"/>
        </w:rPr>
      </w:pPr>
      <w:r w:rsidRPr="00B25A22">
        <w:rPr>
          <w:rFonts w:cs="Times New Roman"/>
        </w:rPr>
        <w:t xml:space="preserve">Ing. Ilona </w:t>
      </w:r>
      <w:proofErr w:type="spellStart"/>
      <w:r w:rsidRPr="00B25A22">
        <w:rPr>
          <w:rFonts w:cs="Times New Roman"/>
        </w:rPr>
        <w:t>Mrhálková</w:t>
      </w:r>
      <w:proofErr w:type="spellEnd"/>
      <w:r w:rsidRPr="00B25A22">
        <w:rPr>
          <w:rFonts w:cs="Times New Roman"/>
        </w:rPr>
        <w:t>“ spolupráce na kap. 2</w:t>
      </w:r>
    </w:p>
    <w:p w14:paraId="66A2E935" w14:textId="77777777" w:rsidR="00AA3A5F" w:rsidRPr="00B25A22" w:rsidRDefault="00AA3A5F" w:rsidP="00E032F8">
      <w:pPr>
        <w:pStyle w:val="UZEINormaln"/>
        <w:rPr>
          <w:rFonts w:cs="Times New Roman"/>
        </w:rPr>
      </w:pPr>
      <w:r w:rsidRPr="00B25A22">
        <w:rPr>
          <w:rFonts w:cs="Times New Roman"/>
        </w:rPr>
        <w:t xml:space="preserve">Ing. Josefina </w:t>
      </w:r>
      <w:proofErr w:type="spellStart"/>
      <w:r w:rsidRPr="00B25A22">
        <w:rPr>
          <w:rFonts w:cs="Times New Roman"/>
        </w:rPr>
        <w:t>Menzlová</w:t>
      </w:r>
      <w:proofErr w:type="spellEnd"/>
      <w:r w:rsidRPr="00B25A22">
        <w:rPr>
          <w:rFonts w:cs="Times New Roman"/>
        </w:rPr>
        <w:t>: spolupráce na kap. 5 a 6</w:t>
      </w:r>
    </w:p>
    <w:p w14:paraId="12D981C7" w14:textId="77777777" w:rsidR="00AA3A5F" w:rsidRPr="00B25A22" w:rsidRDefault="00AA3A5F" w:rsidP="00E032F8">
      <w:pPr>
        <w:pStyle w:val="UZEINormaln"/>
        <w:rPr>
          <w:rFonts w:cs="Times New Roman"/>
        </w:rPr>
      </w:pPr>
      <w:r w:rsidRPr="00B25A22">
        <w:rPr>
          <w:rFonts w:cs="Times New Roman"/>
        </w:rPr>
        <w:t>Ing. Kristýna Kličková: spolupráce na kap. 5 a 6</w:t>
      </w:r>
    </w:p>
    <w:p w14:paraId="3D547BDF" w14:textId="77777777" w:rsidR="00AA3A5F" w:rsidRPr="00B25A22" w:rsidRDefault="00AA3A5F" w:rsidP="00E032F8">
      <w:pPr>
        <w:pStyle w:val="UZEINormaln"/>
        <w:rPr>
          <w:rFonts w:cs="Times New Roman"/>
        </w:rPr>
      </w:pPr>
      <w:r w:rsidRPr="00B25A22">
        <w:rPr>
          <w:rFonts w:cs="Times New Roman"/>
        </w:rPr>
        <w:t>Ing. Martin Plášil, Ph.D.: spolupráce na kapitole 6</w:t>
      </w:r>
    </w:p>
    <w:p w14:paraId="6D20E5E9" w14:textId="77777777" w:rsidR="00AA3A5F" w:rsidRPr="00B25A22" w:rsidRDefault="00AA3A5F" w:rsidP="00AA3A5F">
      <w:pPr>
        <w:jc w:val="center"/>
        <w:rPr>
          <w:rFonts w:cs="Times New Roman"/>
          <w:sz w:val="22"/>
          <w:lang w:val="cs-CZ"/>
        </w:rPr>
      </w:pPr>
    </w:p>
    <w:p w14:paraId="22211BED" w14:textId="77777777" w:rsidR="00AA3A5F" w:rsidRPr="00B25A22" w:rsidRDefault="00AA3A5F" w:rsidP="00AA3A5F">
      <w:pPr>
        <w:jc w:val="center"/>
        <w:rPr>
          <w:rFonts w:cs="Times New Roman"/>
          <w:sz w:val="22"/>
          <w:lang w:val="cs-CZ"/>
        </w:rPr>
      </w:pPr>
    </w:p>
    <w:p w14:paraId="6B39055F" w14:textId="77777777" w:rsidR="00AA3A5F" w:rsidRPr="00B25A22" w:rsidRDefault="00AA3A5F" w:rsidP="00AA3A5F">
      <w:pPr>
        <w:jc w:val="center"/>
        <w:rPr>
          <w:rFonts w:cs="Times New Roman"/>
          <w:sz w:val="22"/>
          <w:lang w:val="cs-CZ"/>
        </w:rPr>
      </w:pPr>
    </w:p>
    <w:p w14:paraId="05900926" w14:textId="77777777" w:rsidR="00AA3A5F" w:rsidRPr="00B25A22" w:rsidRDefault="00AA3A5F" w:rsidP="00AA3A5F">
      <w:pPr>
        <w:jc w:val="center"/>
        <w:rPr>
          <w:rFonts w:cs="Times New Roman"/>
          <w:sz w:val="22"/>
          <w:lang w:val="cs-CZ"/>
        </w:rPr>
      </w:pPr>
    </w:p>
    <w:p w14:paraId="01BB9F32" w14:textId="77777777" w:rsidR="00AA3A5F" w:rsidRPr="00B25A22" w:rsidRDefault="00AA3A5F" w:rsidP="00AA3A5F">
      <w:pPr>
        <w:jc w:val="center"/>
        <w:rPr>
          <w:rFonts w:cs="Times New Roman"/>
          <w:sz w:val="22"/>
          <w:lang w:val="cs-CZ"/>
        </w:rPr>
      </w:pPr>
    </w:p>
    <w:p w14:paraId="15D6F0F9" w14:textId="77777777" w:rsidR="00AA3A5F" w:rsidRPr="00B25A22" w:rsidRDefault="00AA3A5F" w:rsidP="00AA3A5F">
      <w:pPr>
        <w:jc w:val="center"/>
        <w:rPr>
          <w:rFonts w:cs="Times New Roman"/>
          <w:sz w:val="22"/>
          <w:lang w:val="cs-CZ"/>
        </w:rPr>
      </w:pPr>
    </w:p>
    <w:p w14:paraId="71E72F96" w14:textId="77777777" w:rsidR="00AA3A5F" w:rsidRPr="00B25A22" w:rsidRDefault="00AA3A5F" w:rsidP="00AA3A5F">
      <w:pPr>
        <w:jc w:val="center"/>
        <w:rPr>
          <w:rFonts w:cs="Times New Roman"/>
          <w:sz w:val="22"/>
          <w:lang w:val="cs-CZ"/>
        </w:rPr>
      </w:pPr>
    </w:p>
    <w:p w14:paraId="4D198800" w14:textId="77777777" w:rsidR="00AA3A5F" w:rsidRPr="00B25A22" w:rsidRDefault="00AA3A5F" w:rsidP="00AA3A5F">
      <w:pPr>
        <w:jc w:val="center"/>
        <w:rPr>
          <w:rFonts w:cs="Times New Roman"/>
          <w:sz w:val="22"/>
          <w:lang w:val="cs-CZ"/>
        </w:rPr>
      </w:pPr>
    </w:p>
    <w:p w14:paraId="6783413D" w14:textId="77777777" w:rsidR="00AA3A5F" w:rsidRPr="00B25A22" w:rsidRDefault="00AA3A5F" w:rsidP="00AA3A5F">
      <w:pPr>
        <w:jc w:val="center"/>
        <w:rPr>
          <w:rFonts w:cs="Times New Roman"/>
          <w:sz w:val="22"/>
          <w:lang w:val="cs-CZ"/>
        </w:rPr>
      </w:pPr>
    </w:p>
    <w:p w14:paraId="316AA7D0" w14:textId="77777777" w:rsidR="00AA3A5F" w:rsidRPr="00B25A22" w:rsidRDefault="00AA3A5F" w:rsidP="00AA3A5F">
      <w:pPr>
        <w:jc w:val="center"/>
        <w:rPr>
          <w:rFonts w:cs="Times New Roman"/>
          <w:sz w:val="22"/>
          <w:lang w:val="cs-CZ"/>
        </w:rPr>
      </w:pPr>
    </w:p>
    <w:p w14:paraId="63B4AA8E" w14:textId="77777777" w:rsidR="00AA3A5F" w:rsidRPr="00B25A22" w:rsidRDefault="00AA3A5F" w:rsidP="00AA3A5F">
      <w:pPr>
        <w:jc w:val="center"/>
        <w:rPr>
          <w:rFonts w:cs="Times New Roman"/>
          <w:sz w:val="22"/>
          <w:lang w:val="cs-CZ"/>
        </w:rPr>
      </w:pPr>
    </w:p>
    <w:p w14:paraId="24FFFB2E" w14:textId="77777777" w:rsidR="00AA3A5F" w:rsidRPr="00B25A22" w:rsidRDefault="00AA3A5F" w:rsidP="00AA3A5F">
      <w:pPr>
        <w:jc w:val="center"/>
        <w:rPr>
          <w:rFonts w:cs="Times New Roman"/>
          <w:sz w:val="22"/>
          <w:lang w:val="cs-CZ"/>
        </w:rPr>
      </w:pPr>
    </w:p>
    <w:p w14:paraId="0B53D547" w14:textId="77777777" w:rsidR="00AA3A5F" w:rsidRPr="00B25A22" w:rsidRDefault="00AA3A5F" w:rsidP="00AA3A5F">
      <w:pPr>
        <w:jc w:val="center"/>
        <w:rPr>
          <w:rFonts w:cs="Times New Roman"/>
          <w:sz w:val="22"/>
          <w:lang w:val="cs-CZ"/>
        </w:rPr>
      </w:pPr>
    </w:p>
    <w:p w14:paraId="2A29B5CC" w14:textId="77777777" w:rsidR="00AA3A5F" w:rsidRPr="00B25A22" w:rsidRDefault="00AA3A5F" w:rsidP="00AA3A5F">
      <w:pPr>
        <w:jc w:val="center"/>
        <w:rPr>
          <w:rFonts w:cs="Times New Roman"/>
          <w:sz w:val="22"/>
          <w:lang w:val="cs-CZ"/>
        </w:rPr>
      </w:pPr>
    </w:p>
    <w:p w14:paraId="1D302502" w14:textId="77777777" w:rsidR="00AA3A5F" w:rsidRPr="00B25A22" w:rsidRDefault="00AA3A5F" w:rsidP="00AA3A5F">
      <w:pPr>
        <w:jc w:val="center"/>
        <w:rPr>
          <w:rFonts w:cs="Times New Roman"/>
          <w:sz w:val="22"/>
          <w:lang w:val="cs-CZ"/>
        </w:rPr>
      </w:pPr>
    </w:p>
    <w:p w14:paraId="5B0885A8" w14:textId="77777777" w:rsidR="00AA3A5F" w:rsidRPr="00B25A22" w:rsidRDefault="00AA3A5F" w:rsidP="00AA3A5F">
      <w:pPr>
        <w:jc w:val="center"/>
        <w:rPr>
          <w:rFonts w:cs="Times New Roman"/>
          <w:sz w:val="22"/>
          <w:lang w:val="cs-CZ"/>
        </w:rPr>
      </w:pPr>
    </w:p>
    <w:p w14:paraId="70FC6641" w14:textId="77777777" w:rsidR="00AA3A5F" w:rsidRPr="00B25A22" w:rsidRDefault="00AA3A5F" w:rsidP="00AA3A5F">
      <w:pPr>
        <w:jc w:val="center"/>
        <w:rPr>
          <w:rFonts w:cs="Times New Roman"/>
          <w:sz w:val="22"/>
          <w:lang w:val="cs-CZ"/>
        </w:rPr>
      </w:pPr>
    </w:p>
    <w:p w14:paraId="1DEBBEDB" w14:textId="77777777" w:rsidR="00AA3A5F" w:rsidRPr="00B25A22" w:rsidRDefault="00AA3A5F" w:rsidP="00AA3A5F">
      <w:pPr>
        <w:jc w:val="center"/>
        <w:rPr>
          <w:rFonts w:cs="Times New Roman"/>
          <w:sz w:val="22"/>
          <w:lang w:val="cs-CZ"/>
        </w:rPr>
      </w:pPr>
    </w:p>
    <w:p w14:paraId="7805991E" w14:textId="77777777" w:rsidR="00AA3A5F" w:rsidRPr="00B25A22" w:rsidRDefault="00AA3A5F" w:rsidP="00AA3A5F">
      <w:pPr>
        <w:jc w:val="center"/>
        <w:rPr>
          <w:rFonts w:cs="Times New Roman"/>
          <w:sz w:val="22"/>
          <w:lang w:val="cs-CZ"/>
        </w:rPr>
      </w:pPr>
    </w:p>
    <w:p w14:paraId="09D011A2" w14:textId="77777777" w:rsidR="00AA3A5F" w:rsidRPr="00B25A22" w:rsidRDefault="00AA3A5F" w:rsidP="00AA3A5F">
      <w:pPr>
        <w:jc w:val="center"/>
        <w:rPr>
          <w:rFonts w:cs="Times New Roman"/>
          <w:sz w:val="22"/>
          <w:lang w:val="cs-CZ"/>
        </w:rPr>
      </w:pPr>
    </w:p>
    <w:p w14:paraId="0E411F8A" w14:textId="77777777" w:rsidR="00AA3A5F" w:rsidRPr="00B25A22" w:rsidRDefault="00AA3A5F" w:rsidP="00AA3A5F">
      <w:pPr>
        <w:jc w:val="center"/>
        <w:rPr>
          <w:rFonts w:cs="Times New Roman"/>
          <w:sz w:val="22"/>
          <w:lang w:val="cs-CZ"/>
        </w:rPr>
      </w:pPr>
    </w:p>
    <w:p w14:paraId="7363A0A2" w14:textId="77777777" w:rsidR="00AA3A5F" w:rsidRPr="00B25A22" w:rsidRDefault="00AA3A5F" w:rsidP="00AA3A5F">
      <w:pPr>
        <w:jc w:val="center"/>
        <w:rPr>
          <w:rFonts w:cs="Times New Roman"/>
          <w:sz w:val="22"/>
          <w:lang w:val="cs-CZ"/>
        </w:rPr>
      </w:pPr>
    </w:p>
    <w:p w14:paraId="50166D33" w14:textId="77777777" w:rsidR="00AA3A5F" w:rsidRPr="00B25A22" w:rsidRDefault="00AA3A5F" w:rsidP="00AA3A5F">
      <w:pPr>
        <w:jc w:val="center"/>
        <w:rPr>
          <w:rFonts w:cs="Times New Roman"/>
          <w:sz w:val="22"/>
          <w:lang w:val="cs-CZ"/>
        </w:rPr>
      </w:pPr>
    </w:p>
    <w:p w14:paraId="07680B3B" w14:textId="77777777" w:rsidR="00AA3A5F" w:rsidRPr="00B25A22" w:rsidRDefault="00AA3A5F" w:rsidP="00AA3A5F">
      <w:pPr>
        <w:jc w:val="center"/>
        <w:rPr>
          <w:rFonts w:cs="Times New Roman"/>
          <w:sz w:val="22"/>
          <w:lang w:val="cs-CZ"/>
        </w:rPr>
      </w:pPr>
    </w:p>
    <w:p w14:paraId="3D8397C6" w14:textId="77777777" w:rsidR="00AA3A5F" w:rsidRPr="00B25A22" w:rsidRDefault="00AA3A5F" w:rsidP="00AA3A5F">
      <w:pPr>
        <w:jc w:val="center"/>
        <w:rPr>
          <w:rFonts w:cs="Times New Roman"/>
          <w:sz w:val="22"/>
          <w:lang w:val="cs-CZ"/>
        </w:rPr>
      </w:pPr>
    </w:p>
    <w:p w14:paraId="7C624963" w14:textId="77777777" w:rsidR="00AA3A5F" w:rsidRPr="00B25A22" w:rsidRDefault="00AA3A5F" w:rsidP="00AA3A5F">
      <w:pPr>
        <w:jc w:val="center"/>
        <w:rPr>
          <w:rFonts w:cs="Times New Roman"/>
          <w:sz w:val="22"/>
          <w:lang w:val="cs-CZ"/>
        </w:rPr>
      </w:pPr>
    </w:p>
    <w:p w14:paraId="61A65F96" w14:textId="0BE27929" w:rsidR="00AA3A5F" w:rsidRPr="00B25A22" w:rsidRDefault="00AA3A5F" w:rsidP="00AA3A5F">
      <w:pPr>
        <w:jc w:val="center"/>
        <w:rPr>
          <w:rFonts w:cs="Times New Roman"/>
          <w:sz w:val="22"/>
          <w:lang w:val="cs-CZ"/>
        </w:rPr>
      </w:pPr>
    </w:p>
    <w:p w14:paraId="0A4EC608" w14:textId="0B0FD3DC" w:rsidR="00E032F8" w:rsidRPr="00B25A22" w:rsidRDefault="00E032F8" w:rsidP="00AA3A5F">
      <w:pPr>
        <w:jc w:val="center"/>
        <w:rPr>
          <w:rFonts w:cs="Times New Roman"/>
          <w:sz w:val="22"/>
          <w:lang w:val="cs-CZ"/>
        </w:rPr>
      </w:pPr>
    </w:p>
    <w:p w14:paraId="793F662D" w14:textId="4593FCDD" w:rsidR="00E032F8" w:rsidRPr="00B25A22" w:rsidRDefault="00E032F8" w:rsidP="00AA3A5F">
      <w:pPr>
        <w:jc w:val="center"/>
        <w:rPr>
          <w:rFonts w:cs="Times New Roman"/>
          <w:sz w:val="22"/>
          <w:lang w:val="cs-CZ"/>
        </w:rPr>
      </w:pPr>
    </w:p>
    <w:p w14:paraId="59588B51" w14:textId="5F1EE3B0" w:rsidR="00E032F8" w:rsidRPr="00B25A22" w:rsidRDefault="00E032F8" w:rsidP="00AA3A5F">
      <w:pPr>
        <w:jc w:val="center"/>
        <w:rPr>
          <w:rFonts w:cs="Times New Roman"/>
          <w:sz w:val="22"/>
          <w:lang w:val="cs-CZ"/>
        </w:rPr>
      </w:pPr>
    </w:p>
    <w:p w14:paraId="3F11D03F" w14:textId="54D9BCA6" w:rsidR="00E032F8" w:rsidRPr="00B25A22" w:rsidRDefault="00E032F8" w:rsidP="00AA3A5F">
      <w:pPr>
        <w:jc w:val="center"/>
        <w:rPr>
          <w:rFonts w:cs="Times New Roman"/>
          <w:sz w:val="22"/>
          <w:lang w:val="cs-CZ"/>
        </w:rPr>
      </w:pPr>
    </w:p>
    <w:p w14:paraId="40270924" w14:textId="6428CA6E" w:rsidR="00E032F8" w:rsidRPr="00B25A22" w:rsidRDefault="00E032F8" w:rsidP="00AA3A5F">
      <w:pPr>
        <w:jc w:val="center"/>
        <w:rPr>
          <w:rFonts w:cs="Times New Roman"/>
          <w:sz w:val="22"/>
          <w:lang w:val="cs-CZ"/>
        </w:rPr>
      </w:pPr>
    </w:p>
    <w:p w14:paraId="0BEADCAB" w14:textId="61FC1E5D" w:rsidR="00E032F8" w:rsidRPr="00B25A22" w:rsidRDefault="00E032F8" w:rsidP="00AA3A5F">
      <w:pPr>
        <w:jc w:val="center"/>
        <w:rPr>
          <w:rFonts w:cs="Times New Roman"/>
          <w:sz w:val="22"/>
          <w:lang w:val="cs-CZ"/>
        </w:rPr>
      </w:pPr>
    </w:p>
    <w:p w14:paraId="2025C19C" w14:textId="4089DA64" w:rsidR="00E032F8" w:rsidRPr="00B25A22" w:rsidRDefault="00E032F8" w:rsidP="00AA3A5F">
      <w:pPr>
        <w:jc w:val="center"/>
        <w:rPr>
          <w:rFonts w:cs="Times New Roman"/>
          <w:sz w:val="22"/>
          <w:lang w:val="cs-CZ"/>
        </w:rPr>
      </w:pPr>
    </w:p>
    <w:p w14:paraId="038BF8E3" w14:textId="6CEC1313" w:rsidR="00E032F8" w:rsidRPr="00B25A22" w:rsidRDefault="00E032F8" w:rsidP="00AA3A5F">
      <w:pPr>
        <w:jc w:val="center"/>
        <w:rPr>
          <w:rFonts w:cs="Times New Roman"/>
          <w:sz w:val="22"/>
          <w:lang w:val="cs-CZ"/>
        </w:rPr>
      </w:pPr>
    </w:p>
    <w:p w14:paraId="37A4A787" w14:textId="713ABB82" w:rsidR="00E032F8" w:rsidRPr="00B25A22" w:rsidRDefault="00E032F8" w:rsidP="00AA3A5F">
      <w:pPr>
        <w:jc w:val="center"/>
        <w:rPr>
          <w:rFonts w:cs="Times New Roman"/>
          <w:sz w:val="22"/>
          <w:lang w:val="cs-CZ"/>
        </w:rPr>
      </w:pPr>
    </w:p>
    <w:p w14:paraId="753860E9" w14:textId="713E55DE" w:rsidR="00E032F8" w:rsidRPr="00B25A22" w:rsidRDefault="00E032F8" w:rsidP="00AA3A5F">
      <w:pPr>
        <w:jc w:val="center"/>
        <w:rPr>
          <w:rFonts w:cs="Times New Roman"/>
          <w:sz w:val="22"/>
          <w:lang w:val="cs-CZ"/>
        </w:rPr>
      </w:pPr>
    </w:p>
    <w:p w14:paraId="7F710687" w14:textId="2F519DDD" w:rsidR="00E032F8" w:rsidRPr="00B25A22" w:rsidRDefault="00E032F8" w:rsidP="00AA3A5F">
      <w:pPr>
        <w:jc w:val="center"/>
        <w:rPr>
          <w:rFonts w:cs="Times New Roman"/>
          <w:sz w:val="22"/>
          <w:lang w:val="cs-CZ"/>
        </w:rPr>
      </w:pPr>
    </w:p>
    <w:p w14:paraId="6921FD87" w14:textId="43C9377E" w:rsidR="00E032F8" w:rsidRPr="00B25A22" w:rsidRDefault="00E032F8" w:rsidP="00AA3A5F">
      <w:pPr>
        <w:jc w:val="center"/>
        <w:rPr>
          <w:rFonts w:cs="Times New Roman"/>
          <w:sz w:val="22"/>
          <w:lang w:val="cs-CZ"/>
        </w:rPr>
      </w:pPr>
    </w:p>
    <w:p w14:paraId="1962B81D" w14:textId="1522B8CD" w:rsidR="00E032F8" w:rsidRPr="00B25A22" w:rsidRDefault="00E032F8" w:rsidP="00AA3A5F">
      <w:pPr>
        <w:jc w:val="center"/>
        <w:rPr>
          <w:rFonts w:cs="Times New Roman"/>
          <w:sz w:val="22"/>
          <w:lang w:val="cs-CZ"/>
        </w:rPr>
      </w:pPr>
    </w:p>
    <w:p w14:paraId="49BA5752" w14:textId="7AB9B8E1" w:rsidR="00E032F8" w:rsidRPr="00B25A22" w:rsidRDefault="00181315" w:rsidP="00DC36F3">
      <w:pPr>
        <w:spacing w:after="160" w:line="259" w:lineRule="auto"/>
        <w:jc w:val="left"/>
        <w:rPr>
          <w:rFonts w:cs="Times New Roman"/>
          <w:sz w:val="22"/>
          <w:lang w:val="cs-CZ"/>
        </w:rPr>
      </w:pPr>
      <w:r>
        <w:rPr>
          <w:rFonts w:cs="Times New Roman"/>
          <w:sz w:val="22"/>
          <w:lang w:val="cs-CZ"/>
        </w:rPr>
        <w:br w:type="page"/>
      </w:r>
    </w:p>
    <w:p w14:paraId="46ADEAD0" w14:textId="40CBF8BB" w:rsidR="00AA3A5F" w:rsidRPr="00B25A22" w:rsidRDefault="00AA3A5F" w:rsidP="00E57A20">
      <w:pPr>
        <w:pStyle w:val="UZEINadpis1stbezsla"/>
      </w:pPr>
      <w:bookmarkStart w:id="1" w:name="_Toc313363000"/>
      <w:bookmarkStart w:id="2" w:name="_Toc12598425"/>
      <w:bookmarkStart w:id="3" w:name="_Toc80969597"/>
      <w:bookmarkStart w:id="4" w:name="_Toc81743378"/>
      <w:bookmarkStart w:id="5" w:name="_Toc81743826"/>
      <w:r w:rsidRPr="00B25A22">
        <w:lastRenderedPageBreak/>
        <w:t>Seznam zkratek</w:t>
      </w:r>
      <w:bookmarkEnd w:id="1"/>
      <w:bookmarkEnd w:id="2"/>
      <w:bookmarkEnd w:id="3"/>
      <w:bookmarkEnd w:id="4"/>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4"/>
        <w:gridCol w:w="7468"/>
      </w:tblGrid>
      <w:tr w:rsidR="00AA3A5F" w:rsidRPr="00B25A22" w14:paraId="585D4CFA" w14:textId="77777777" w:rsidTr="007A68D5">
        <w:trPr>
          <w:cantSplit/>
          <w:trHeight w:val="315"/>
        </w:trPr>
        <w:tc>
          <w:tcPr>
            <w:tcW w:w="724" w:type="pct"/>
            <w:shd w:val="clear" w:color="auto" w:fill="auto"/>
          </w:tcPr>
          <w:p w14:paraId="191607EE" w14:textId="77777777" w:rsidR="00AA3A5F" w:rsidRPr="00B25A22" w:rsidRDefault="00AA3A5F" w:rsidP="007A68D5">
            <w:pPr>
              <w:pStyle w:val="Tabulka"/>
              <w:rPr>
                <w:szCs w:val="24"/>
              </w:rPr>
            </w:pPr>
            <w:r w:rsidRPr="00B25A22">
              <w:rPr>
                <w:szCs w:val="24"/>
              </w:rPr>
              <w:t>ARZ</w:t>
            </w:r>
          </w:p>
        </w:tc>
        <w:tc>
          <w:tcPr>
            <w:tcW w:w="4276" w:type="pct"/>
            <w:shd w:val="clear" w:color="auto" w:fill="auto"/>
          </w:tcPr>
          <w:p w14:paraId="7D3AEB2E" w14:textId="77777777" w:rsidR="00AA3A5F" w:rsidRPr="00B25A22" w:rsidRDefault="00AA3A5F" w:rsidP="007A68D5">
            <w:pPr>
              <w:pStyle w:val="Tabulka"/>
              <w:rPr>
                <w:szCs w:val="24"/>
              </w:rPr>
            </w:pPr>
            <w:r w:rsidRPr="00B25A22">
              <w:rPr>
                <w:szCs w:val="24"/>
              </w:rPr>
              <w:t>Asociace regionálních značek</w:t>
            </w:r>
          </w:p>
        </w:tc>
      </w:tr>
      <w:tr w:rsidR="00AA3A5F" w:rsidRPr="00B25A22" w14:paraId="6DFE47B4" w14:textId="77777777" w:rsidTr="007A68D5">
        <w:trPr>
          <w:cantSplit/>
          <w:trHeight w:val="315"/>
        </w:trPr>
        <w:tc>
          <w:tcPr>
            <w:tcW w:w="724" w:type="pct"/>
            <w:shd w:val="clear" w:color="auto" w:fill="auto"/>
          </w:tcPr>
          <w:p w14:paraId="0E5F0A09" w14:textId="77777777" w:rsidR="00AA3A5F" w:rsidRPr="00B25A22" w:rsidRDefault="00AA3A5F" w:rsidP="007A68D5">
            <w:pPr>
              <w:pStyle w:val="Tabulka"/>
              <w:rPr>
                <w:szCs w:val="24"/>
              </w:rPr>
            </w:pPr>
            <w:r w:rsidRPr="00B25A22">
              <w:rPr>
                <w:szCs w:val="24"/>
              </w:rPr>
              <w:t>ASZ</w:t>
            </w:r>
          </w:p>
        </w:tc>
        <w:tc>
          <w:tcPr>
            <w:tcW w:w="4276" w:type="pct"/>
            <w:shd w:val="clear" w:color="auto" w:fill="auto"/>
          </w:tcPr>
          <w:p w14:paraId="6F10AE5E" w14:textId="77777777" w:rsidR="00AA3A5F" w:rsidRPr="00B25A22" w:rsidRDefault="00AA3A5F" w:rsidP="007A68D5">
            <w:pPr>
              <w:pStyle w:val="Tabulka"/>
              <w:rPr>
                <w:szCs w:val="24"/>
              </w:rPr>
            </w:pPr>
            <w:r w:rsidRPr="00B25A22">
              <w:rPr>
                <w:szCs w:val="24"/>
              </w:rPr>
              <w:t>Asociace soukromých zemědělců</w:t>
            </w:r>
          </w:p>
        </w:tc>
      </w:tr>
      <w:tr w:rsidR="00AA3A5F" w:rsidRPr="00B25A22" w14:paraId="6FC6E68C" w14:textId="77777777" w:rsidTr="007A68D5">
        <w:trPr>
          <w:cantSplit/>
          <w:trHeight w:val="315"/>
        </w:trPr>
        <w:tc>
          <w:tcPr>
            <w:tcW w:w="724" w:type="pct"/>
            <w:shd w:val="clear" w:color="auto" w:fill="auto"/>
          </w:tcPr>
          <w:p w14:paraId="4F11B276" w14:textId="77777777" w:rsidR="00AA3A5F" w:rsidRPr="00B25A22" w:rsidRDefault="00AA3A5F" w:rsidP="007A68D5">
            <w:pPr>
              <w:pStyle w:val="Tabulka"/>
              <w:rPr>
                <w:szCs w:val="24"/>
              </w:rPr>
            </w:pPr>
            <w:r w:rsidRPr="00B25A22">
              <w:rPr>
                <w:szCs w:val="24"/>
              </w:rPr>
              <w:t>BRC</w:t>
            </w:r>
          </w:p>
        </w:tc>
        <w:tc>
          <w:tcPr>
            <w:tcW w:w="4276" w:type="pct"/>
            <w:shd w:val="clear" w:color="auto" w:fill="auto"/>
          </w:tcPr>
          <w:p w14:paraId="74F82C42" w14:textId="77777777" w:rsidR="00AA3A5F" w:rsidRPr="00B25A22" w:rsidRDefault="00AA3A5F" w:rsidP="007A68D5">
            <w:pPr>
              <w:pStyle w:val="Tabulka"/>
              <w:rPr>
                <w:szCs w:val="24"/>
              </w:rPr>
            </w:pPr>
            <w:proofErr w:type="spellStart"/>
            <w:r w:rsidRPr="00B25A22">
              <w:rPr>
                <w:szCs w:val="24"/>
              </w:rPr>
              <w:t>British</w:t>
            </w:r>
            <w:proofErr w:type="spellEnd"/>
            <w:r w:rsidRPr="00B25A22">
              <w:rPr>
                <w:szCs w:val="24"/>
              </w:rPr>
              <w:t xml:space="preserve"> Retail </w:t>
            </w:r>
            <w:proofErr w:type="spellStart"/>
            <w:r w:rsidRPr="00B25A22">
              <w:rPr>
                <w:szCs w:val="24"/>
              </w:rPr>
              <w:t>Consortium</w:t>
            </w:r>
            <w:proofErr w:type="spellEnd"/>
            <w:r w:rsidRPr="00B25A22">
              <w:rPr>
                <w:szCs w:val="24"/>
              </w:rPr>
              <w:t xml:space="preserve"> – certifikace standardů bezpečnosti potravin</w:t>
            </w:r>
          </w:p>
        </w:tc>
      </w:tr>
      <w:tr w:rsidR="00AA3A5F" w:rsidRPr="000703B9" w14:paraId="6A770D9A" w14:textId="77777777" w:rsidTr="007A68D5">
        <w:trPr>
          <w:cantSplit/>
          <w:trHeight w:val="315"/>
        </w:trPr>
        <w:tc>
          <w:tcPr>
            <w:tcW w:w="724" w:type="pct"/>
            <w:shd w:val="clear" w:color="auto" w:fill="auto"/>
          </w:tcPr>
          <w:p w14:paraId="3C876B64" w14:textId="77777777" w:rsidR="00AA3A5F" w:rsidRPr="00B25A22" w:rsidRDefault="00AA3A5F" w:rsidP="007A68D5">
            <w:pPr>
              <w:pStyle w:val="Tabulka"/>
              <w:rPr>
                <w:szCs w:val="24"/>
              </w:rPr>
            </w:pPr>
            <w:r w:rsidRPr="00B25A22">
              <w:rPr>
                <w:szCs w:val="24"/>
              </w:rPr>
              <w:t>BSE</w:t>
            </w:r>
          </w:p>
        </w:tc>
        <w:tc>
          <w:tcPr>
            <w:tcW w:w="4276" w:type="pct"/>
            <w:shd w:val="clear" w:color="auto" w:fill="auto"/>
          </w:tcPr>
          <w:p w14:paraId="322FAFC6" w14:textId="77777777" w:rsidR="00AA3A5F" w:rsidRPr="00B25A22" w:rsidRDefault="00AA3A5F" w:rsidP="007A68D5">
            <w:pPr>
              <w:pStyle w:val="Tabulka"/>
              <w:rPr>
                <w:szCs w:val="24"/>
              </w:rPr>
            </w:pPr>
            <w:r w:rsidRPr="00B25A22">
              <w:rPr>
                <w:rStyle w:val="st"/>
                <w:rFonts w:eastAsiaTheme="majorEastAsia"/>
                <w:szCs w:val="24"/>
              </w:rPr>
              <w:t>Bovinní spongiformní encefalopatie (nemoc šílených krav)</w:t>
            </w:r>
          </w:p>
        </w:tc>
      </w:tr>
      <w:tr w:rsidR="00AA3A5F" w:rsidRPr="00B25A22" w14:paraId="30CEF13D" w14:textId="77777777" w:rsidTr="007A68D5">
        <w:trPr>
          <w:cantSplit/>
          <w:trHeight w:val="315"/>
        </w:trPr>
        <w:tc>
          <w:tcPr>
            <w:tcW w:w="724" w:type="pct"/>
            <w:shd w:val="clear" w:color="auto" w:fill="auto"/>
          </w:tcPr>
          <w:p w14:paraId="7451C281" w14:textId="77777777" w:rsidR="00AA3A5F" w:rsidRPr="00B25A22" w:rsidRDefault="00AA3A5F" w:rsidP="007A68D5">
            <w:pPr>
              <w:pStyle w:val="Tabulka"/>
              <w:rPr>
                <w:szCs w:val="24"/>
              </w:rPr>
            </w:pPr>
            <w:r w:rsidRPr="00B25A22">
              <w:rPr>
                <w:szCs w:val="24"/>
              </w:rPr>
              <w:t>CPV</w:t>
            </w:r>
          </w:p>
        </w:tc>
        <w:tc>
          <w:tcPr>
            <w:tcW w:w="4276" w:type="pct"/>
            <w:shd w:val="clear" w:color="auto" w:fill="auto"/>
          </w:tcPr>
          <w:p w14:paraId="7F9FCED6" w14:textId="77777777" w:rsidR="00AA3A5F" w:rsidRPr="00B25A22" w:rsidRDefault="00AA3A5F" w:rsidP="007A68D5">
            <w:pPr>
              <w:pStyle w:val="Tabulka"/>
              <w:rPr>
                <w:szCs w:val="24"/>
              </w:rPr>
            </w:pPr>
            <w:r w:rsidRPr="00B25A22">
              <w:rPr>
                <w:szCs w:val="24"/>
              </w:rPr>
              <w:t>Ceny průmyslových výrobců</w:t>
            </w:r>
          </w:p>
        </w:tc>
      </w:tr>
      <w:tr w:rsidR="00AA3A5F" w:rsidRPr="00B25A22" w14:paraId="7B20165B" w14:textId="77777777" w:rsidTr="007A68D5">
        <w:trPr>
          <w:cantSplit/>
          <w:trHeight w:val="315"/>
        </w:trPr>
        <w:tc>
          <w:tcPr>
            <w:tcW w:w="724" w:type="pct"/>
            <w:shd w:val="clear" w:color="auto" w:fill="auto"/>
          </w:tcPr>
          <w:p w14:paraId="0E0970A1" w14:textId="77777777" w:rsidR="00AA3A5F" w:rsidRPr="00B25A22" w:rsidRDefault="00AA3A5F" w:rsidP="007A68D5">
            <w:pPr>
              <w:pStyle w:val="Tabulka"/>
              <w:rPr>
                <w:szCs w:val="24"/>
              </w:rPr>
            </w:pPr>
            <w:r w:rsidRPr="00B25A22">
              <w:rPr>
                <w:szCs w:val="24"/>
              </w:rPr>
              <w:t>CZV</w:t>
            </w:r>
          </w:p>
        </w:tc>
        <w:tc>
          <w:tcPr>
            <w:tcW w:w="4276" w:type="pct"/>
            <w:shd w:val="clear" w:color="auto" w:fill="auto"/>
          </w:tcPr>
          <w:p w14:paraId="1B327E32" w14:textId="77777777" w:rsidR="00AA3A5F" w:rsidRPr="00B25A22" w:rsidRDefault="00AA3A5F" w:rsidP="007A68D5">
            <w:pPr>
              <w:pStyle w:val="Tabulka"/>
              <w:rPr>
                <w:szCs w:val="24"/>
              </w:rPr>
            </w:pPr>
            <w:r w:rsidRPr="00B25A22">
              <w:rPr>
                <w:szCs w:val="24"/>
              </w:rPr>
              <w:t>Ceny zemědělských výrobců</w:t>
            </w:r>
          </w:p>
        </w:tc>
      </w:tr>
      <w:tr w:rsidR="00AA3A5F" w:rsidRPr="00B25A22" w14:paraId="4BA9A4F0" w14:textId="77777777" w:rsidTr="007A68D5">
        <w:trPr>
          <w:cantSplit/>
          <w:trHeight w:val="315"/>
        </w:trPr>
        <w:tc>
          <w:tcPr>
            <w:tcW w:w="724" w:type="pct"/>
            <w:shd w:val="clear" w:color="auto" w:fill="auto"/>
          </w:tcPr>
          <w:p w14:paraId="1906AB3B" w14:textId="77777777" w:rsidR="00AA3A5F" w:rsidRPr="00B25A22" w:rsidRDefault="00AA3A5F" w:rsidP="007A68D5">
            <w:pPr>
              <w:pStyle w:val="Tabulka"/>
              <w:rPr>
                <w:szCs w:val="24"/>
              </w:rPr>
            </w:pPr>
            <w:r w:rsidRPr="00B25A22">
              <w:rPr>
                <w:szCs w:val="24"/>
              </w:rPr>
              <w:t>ČBS</w:t>
            </w:r>
          </w:p>
        </w:tc>
        <w:tc>
          <w:tcPr>
            <w:tcW w:w="4276" w:type="pct"/>
            <w:shd w:val="clear" w:color="auto" w:fill="auto"/>
          </w:tcPr>
          <w:p w14:paraId="2FE3A7D0" w14:textId="77777777" w:rsidR="00AA3A5F" w:rsidRPr="00B25A22" w:rsidRDefault="00AA3A5F" w:rsidP="007A68D5">
            <w:pPr>
              <w:pStyle w:val="Tabulka"/>
              <w:rPr>
                <w:szCs w:val="24"/>
              </w:rPr>
            </w:pPr>
            <w:r w:rsidRPr="00B25A22">
              <w:rPr>
                <w:szCs w:val="24"/>
              </w:rPr>
              <w:t>Český bramborářský svaz</w:t>
            </w:r>
          </w:p>
        </w:tc>
      </w:tr>
      <w:tr w:rsidR="00AA3A5F" w:rsidRPr="00B25A22" w14:paraId="22973697" w14:textId="77777777" w:rsidTr="007A68D5">
        <w:trPr>
          <w:cantSplit/>
          <w:trHeight w:val="315"/>
        </w:trPr>
        <w:tc>
          <w:tcPr>
            <w:tcW w:w="724" w:type="pct"/>
            <w:shd w:val="clear" w:color="auto" w:fill="auto"/>
          </w:tcPr>
          <w:p w14:paraId="462964E0" w14:textId="77777777" w:rsidR="00AA3A5F" w:rsidRPr="00B25A22" w:rsidRDefault="00AA3A5F" w:rsidP="007A68D5">
            <w:pPr>
              <w:pStyle w:val="Tabulka"/>
              <w:rPr>
                <w:szCs w:val="24"/>
              </w:rPr>
            </w:pPr>
            <w:r w:rsidRPr="00B25A22">
              <w:rPr>
                <w:szCs w:val="24"/>
              </w:rPr>
              <w:t>ČSÚ</w:t>
            </w:r>
          </w:p>
        </w:tc>
        <w:tc>
          <w:tcPr>
            <w:tcW w:w="4276" w:type="pct"/>
            <w:shd w:val="clear" w:color="auto" w:fill="auto"/>
          </w:tcPr>
          <w:p w14:paraId="3D0FCF79" w14:textId="77777777" w:rsidR="00AA3A5F" w:rsidRPr="00B25A22" w:rsidRDefault="00AA3A5F" w:rsidP="007A68D5">
            <w:pPr>
              <w:pStyle w:val="Tabulka"/>
              <w:rPr>
                <w:szCs w:val="24"/>
              </w:rPr>
            </w:pPr>
            <w:r w:rsidRPr="00B25A22">
              <w:rPr>
                <w:szCs w:val="24"/>
              </w:rPr>
              <w:t>Český statistický úřad</w:t>
            </w:r>
          </w:p>
        </w:tc>
      </w:tr>
      <w:tr w:rsidR="00AA3A5F" w:rsidRPr="00B25A22" w14:paraId="18D51AAD" w14:textId="77777777" w:rsidTr="007A68D5">
        <w:trPr>
          <w:cantSplit/>
          <w:trHeight w:val="315"/>
        </w:trPr>
        <w:tc>
          <w:tcPr>
            <w:tcW w:w="724" w:type="pct"/>
            <w:shd w:val="clear" w:color="auto" w:fill="auto"/>
          </w:tcPr>
          <w:p w14:paraId="1E160C55" w14:textId="77777777" w:rsidR="00AA3A5F" w:rsidRPr="00B25A22" w:rsidRDefault="00AA3A5F" w:rsidP="007A68D5">
            <w:pPr>
              <w:pStyle w:val="Tabulka"/>
              <w:rPr>
                <w:szCs w:val="24"/>
              </w:rPr>
            </w:pPr>
            <w:r w:rsidRPr="00B25A22">
              <w:rPr>
                <w:szCs w:val="24"/>
              </w:rPr>
              <w:t>ČSV</w:t>
            </w:r>
          </w:p>
        </w:tc>
        <w:tc>
          <w:tcPr>
            <w:tcW w:w="4276" w:type="pct"/>
            <w:shd w:val="clear" w:color="auto" w:fill="auto"/>
          </w:tcPr>
          <w:p w14:paraId="4EE3EBAD" w14:textId="77777777" w:rsidR="00AA3A5F" w:rsidRPr="00B25A22" w:rsidRDefault="00AA3A5F" w:rsidP="007A68D5">
            <w:pPr>
              <w:pStyle w:val="Tabulka"/>
              <w:rPr>
                <w:szCs w:val="24"/>
              </w:rPr>
            </w:pPr>
            <w:r w:rsidRPr="00B25A22">
              <w:rPr>
                <w:szCs w:val="24"/>
              </w:rPr>
              <w:t>Český svaz včelařů</w:t>
            </w:r>
          </w:p>
        </w:tc>
      </w:tr>
      <w:tr w:rsidR="00AA3A5F" w:rsidRPr="00B25A22" w14:paraId="43066A3B" w14:textId="77777777" w:rsidTr="007A68D5">
        <w:trPr>
          <w:cantSplit/>
          <w:trHeight w:val="315"/>
        </w:trPr>
        <w:tc>
          <w:tcPr>
            <w:tcW w:w="724" w:type="pct"/>
            <w:shd w:val="clear" w:color="auto" w:fill="auto"/>
          </w:tcPr>
          <w:p w14:paraId="426D159F" w14:textId="77777777" w:rsidR="00AA3A5F" w:rsidRPr="00B25A22" w:rsidRDefault="00AA3A5F" w:rsidP="007A68D5">
            <w:pPr>
              <w:pStyle w:val="Tabulka"/>
              <w:rPr>
                <w:szCs w:val="24"/>
              </w:rPr>
            </w:pPr>
            <w:r w:rsidRPr="00B25A22">
              <w:rPr>
                <w:szCs w:val="24"/>
              </w:rPr>
              <w:t>ECB</w:t>
            </w:r>
          </w:p>
        </w:tc>
        <w:tc>
          <w:tcPr>
            <w:tcW w:w="4276" w:type="pct"/>
            <w:shd w:val="clear" w:color="auto" w:fill="auto"/>
          </w:tcPr>
          <w:p w14:paraId="6DE34622" w14:textId="77777777" w:rsidR="00AA3A5F" w:rsidRPr="00B25A22" w:rsidRDefault="00AA3A5F" w:rsidP="007A68D5">
            <w:pPr>
              <w:pStyle w:val="Tabulka"/>
              <w:rPr>
                <w:szCs w:val="24"/>
              </w:rPr>
            </w:pPr>
            <w:proofErr w:type="spellStart"/>
            <w:r w:rsidRPr="00B25A22">
              <w:rPr>
                <w:szCs w:val="24"/>
              </w:rPr>
              <w:t>European</w:t>
            </w:r>
            <w:proofErr w:type="spellEnd"/>
            <w:r w:rsidRPr="00B25A22">
              <w:rPr>
                <w:szCs w:val="24"/>
              </w:rPr>
              <w:t xml:space="preserve"> </w:t>
            </w:r>
            <w:proofErr w:type="spellStart"/>
            <w:r w:rsidRPr="00B25A22">
              <w:rPr>
                <w:szCs w:val="24"/>
              </w:rPr>
              <w:t>Central</w:t>
            </w:r>
            <w:proofErr w:type="spellEnd"/>
            <w:r w:rsidRPr="00B25A22">
              <w:rPr>
                <w:szCs w:val="24"/>
              </w:rPr>
              <w:t xml:space="preserve"> Bank</w:t>
            </w:r>
          </w:p>
        </w:tc>
      </w:tr>
      <w:tr w:rsidR="00AA3A5F" w:rsidRPr="000703B9" w14:paraId="5D0EC99E" w14:textId="77777777" w:rsidTr="007A68D5">
        <w:trPr>
          <w:cantSplit/>
          <w:trHeight w:val="315"/>
        </w:trPr>
        <w:tc>
          <w:tcPr>
            <w:tcW w:w="724" w:type="pct"/>
            <w:shd w:val="clear" w:color="auto" w:fill="auto"/>
          </w:tcPr>
          <w:p w14:paraId="68263837" w14:textId="77777777" w:rsidR="00AA3A5F" w:rsidRPr="00B25A22" w:rsidRDefault="00AA3A5F" w:rsidP="007A68D5">
            <w:pPr>
              <w:pStyle w:val="Tabulka"/>
              <w:rPr>
                <w:szCs w:val="24"/>
              </w:rPr>
            </w:pPr>
            <w:r w:rsidRPr="00B25A22">
              <w:rPr>
                <w:szCs w:val="24"/>
              </w:rPr>
              <w:t>EIP</w:t>
            </w:r>
          </w:p>
        </w:tc>
        <w:tc>
          <w:tcPr>
            <w:tcW w:w="4276" w:type="pct"/>
            <w:shd w:val="clear" w:color="auto" w:fill="auto"/>
          </w:tcPr>
          <w:p w14:paraId="1D478D92" w14:textId="77777777" w:rsidR="00AA3A5F" w:rsidRPr="00B25A22" w:rsidRDefault="00AA3A5F" w:rsidP="007A68D5">
            <w:pPr>
              <w:pStyle w:val="Tabulka"/>
              <w:rPr>
                <w:szCs w:val="24"/>
              </w:rPr>
            </w:pPr>
            <w:r w:rsidRPr="00B25A22">
              <w:rPr>
                <w:szCs w:val="24"/>
              </w:rPr>
              <w:t>Evropské inovační partnerství (Evropský informační projekt)</w:t>
            </w:r>
          </w:p>
        </w:tc>
      </w:tr>
      <w:tr w:rsidR="00AA3A5F" w:rsidRPr="00B25A22" w14:paraId="205214A3" w14:textId="77777777" w:rsidTr="007A68D5">
        <w:trPr>
          <w:cantSplit/>
          <w:trHeight w:val="315"/>
        </w:trPr>
        <w:tc>
          <w:tcPr>
            <w:tcW w:w="724" w:type="pct"/>
            <w:shd w:val="clear" w:color="auto" w:fill="auto"/>
          </w:tcPr>
          <w:p w14:paraId="1B59995A" w14:textId="77777777" w:rsidR="00AA3A5F" w:rsidRPr="00B25A22" w:rsidRDefault="00AA3A5F" w:rsidP="007A68D5">
            <w:pPr>
              <w:pStyle w:val="Tabulka"/>
              <w:rPr>
                <w:szCs w:val="24"/>
              </w:rPr>
            </w:pPr>
            <w:r w:rsidRPr="00B25A22">
              <w:rPr>
                <w:szCs w:val="24"/>
              </w:rPr>
              <w:t>EK</w:t>
            </w:r>
          </w:p>
        </w:tc>
        <w:tc>
          <w:tcPr>
            <w:tcW w:w="4276" w:type="pct"/>
            <w:shd w:val="clear" w:color="auto" w:fill="auto"/>
          </w:tcPr>
          <w:p w14:paraId="575CDB33" w14:textId="77777777" w:rsidR="00AA3A5F" w:rsidRPr="00B25A22" w:rsidRDefault="00AA3A5F" w:rsidP="007A68D5">
            <w:pPr>
              <w:pStyle w:val="Tabulka"/>
              <w:rPr>
                <w:szCs w:val="24"/>
              </w:rPr>
            </w:pPr>
            <w:r w:rsidRPr="00B25A22">
              <w:rPr>
                <w:szCs w:val="24"/>
              </w:rPr>
              <w:t>Evropská komise</w:t>
            </w:r>
          </w:p>
        </w:tc>
      </w:tr>
      <w:tr w:rsidR="00AA3A5F" w:rsidRPr="00B25A22" w14:paraId="3E9D521B" w14:textId="77777777" w:rsidTr="007A68D5">
        <w:trPr>
          <w:cantSplit/>
          <w:trHeight w:val="315"/>
        </w:trPr>
        <w:tc>
          <w:tcPr>
            <w:tcW w:w="724" w:type="pct"/>
            <w:shd w:val="clear" w:color="auto" w:fill="auto"/>
          </w:tcPr>
          <w:p w14:paraId="07EE7448" w14:textId="77777777" w:rsidR="00AA3A5F" w:rsidRPr="00B25A22" w:rsidRDefault="00AA3A5F" w:rsidP="007A68D5">
            <w:pPr>
              <w:pStyle w:val="Tabulka"/>
              <w:rPr>
                <w:szCs w:val="24"/>
              </w:rPr>
            </w:pPr>
            <w:r w:rsidRPr="00B25A22">
              <w:rPr>
                <w:szCs w:val="24"/>
              </w:rPr>
              <w:t>EP</w:t>
            </w:r>
          </w:p>
        </w:tc>
        <w:tc>
          <w:tcPr>
            <w:tcW w:w="4276" w:type="pct"/>
            <w:shd w:val="clear" w:color="auto" w:fill="auto"/>
          </w:tcPr>
          <w:p w14:paraId="61EF9112" w14:textId="77777777" w:rsidR="00AA3A5F" w:rsidRPr="00B25A22" w:rsidRDefault="00AA3A5F" w:rsidP="007A68D5">
            <w:pPr>
              <w:pStyle w:val="Tabulka"/>
              <w:rPr>
                <w:szCs w:val="24"/>
              </w:rPr>
            </w:pPr>
            <w:r w:rsidRPr="00B25A22">
              <w:rPr>
                <w:szCs w:val="24"/>
              </w:rPr>
              <w:t>Evropský parlament</w:t>
            </w:r>
          </w:p>
        </w:tc>
      </w:tr>
      <w:tr w:rsidR="00AA3A5F" w:rsidRPr="00B25A22" w14:paraId="7B658568" w14:textId="77777777" w:rsidTr="007A68D5">
        <w:trPr>
          <w:cantSplit/>
          <w:trHeight w:val="315"/>
        </w:trPr>
        <w:tc>
          <w:tcPr>
            <w:tcW w:w="724" w:type="pct"/>
            <w:shd w:val="clear" w:color="auto" w:fill="auto"/>
          </w:tcPr>
          <w:p w14:paraId="3463A53C" w14:textId="77777777" w:rsidR="00AA3A5F" w:rsidRPr="00B25A22" w:rsidRDefault="00AA3A5F" w:rsidP="007A68D5">
            <w:pPr>
              <w:pStyle w:val="Tabulka"/>
              <w:rPr>
                <w:szCs w:val="24"/>
              </w:rPr>
            </w:pPr>
            <w:r w:rsidRPr="00B25A22">
              <w:rPr>
                <w:szCs w:val="24"/>
              </w:rPr>
              <w:t>EZZF</w:t>
            </w:r>
          </w:p>
        </w:tc>
        <w:tc>
          <w:tcPr>
            <w:tcW w:w="4276" w:type="pct"/>
            <w:shd w:val="clear" w:color="auto" w:fill="auto"/>
          </w:tcPr>
          <w:p w14:paraId="6DC6B6F3" w14:textId="77777777" w:rsidR="00AA3A5F" w:rsidRPr="00B25A22" w:rsidRDefault="00AA3A5F" w:rsidP="007A68D5">
            <w:pPr>
              <w:pStyle w:val="Tabulka"/>
              <w:rPr>
                <w:szCs w:val="24"/>
              </w:rPr>
            </w:pPr>
            <w:r w:rsidRPr="00B25A22">
              <w:rPr>
                <w:szCs w:val="24"/>
              </w:rPr>
              <w:t>Evropský zemědělský záruční fond</w:t>
            </w:r>
          </w:p>
        </w:tc>
      </w:tr>
      <w:tr w:rsidR="00AA3A5F" w:rsidRPr="000703B9" w14:paraId="2880D958" w14:textId="77777777" w:rsidTr="007A68D5">
        <w:trPr>
          <w:cantSplit/>
          <w:trHeight w:val="315"/>
        </w:trPr>
        <w:tc>
          <w:tcPr>
            <w:tcW w:w="724" w:type="pct"/>
            <w:shd w:val="clear" w:color="auto" w:fill="auto"/>
          </w:tcPr>
          <w:p w14:paraId="00BBCDD0" w14:textId="77777777" w:rsidR="00AA3A5F" w:rsidRPr="00B25A22" w:rsidRDefault="00AA3A5F" w:rsidP="007A68D5">
            <w:pPr>
              <w:pStyle w:val="Tabulka"/>
              <w:rPr>
                <w:szCs w:val="24"/>
              </w:rPr>
            </w:pPr>
            <w:r w:rsidRPr="00B25A22">
              <w:rPr>
                <w:szCs w:val="24"/>
              </w:rPr>
              <w:t>EZFRV</w:t>
            </w:r>
          </w:p>
        </w:tc>
        <w:tc>
          <w:tcPr>
            <w:tcW w:w="4276" w:type="pct"/>
            <w:shd w:val="clear" w:color="auto" w:fill="auto"/>
          </w:tcPr>
          <w:p w14:paraId="3FD34EBF" w14:textId="77777777" w:rsidR="00AA3A5F" w:rsidRPr="00B25A22" w:rsidRDefault="00AA3A5F" w:rsidP="007A68D5">
            <w:pPr>
              <w:pStyle w:val="Tabulka"/>
              <w:rPr>
                <w:szCs w:val="24"/>
              </w:rPr>
            </w:pPr>
            <w:r w:rsidRPr="00B25A22">
              <w:rPr>
                <w:szCs w:val="24"/>
              </w:rPr>
              <w:t>Evropský zemědělský fond pro rozvoj venkova</w:t>
            </w:r>
          </w:p>
        </w:tc>
      </w:tr>
      <w:tr w:rsidR="00AA3A5F" w:rsidRPr="000703B9" w14:paraId="6CB82C73" w14:textId="77777777" w:rsidTr="007A68D5">
        <w:trPr>
          <w:cantSplit/>
          <w:trHeight w:val="315"/>
        </w:trPr>
        <w:tc>
          <w:tcPr>
            <w:tcW w:w="724" w:type="pct"/>
            <w:shd w:val="clear" w:color="auto" w:fill="auto"/>
          </w:tcPr>
          <w:p w14:paraId="721ECFBF" w14:textId="77777777" w:rsidR="00AA3A5F" w:rsidRPr="00B25A22" w:rsidRDefault="00AA3A5F" w:rsidP="007A68D5">
            <w:pPr>
              <w:pStyle w:val="Tabulka"/>
              <w:rPr>
                <w:szCs w:val="24"/>
              </w:rPr>
            </w:pPr>
            <w:proofErr w:type="spellStart"/>
            <w:r w:rsidRPr="00B25A22">
              <w:rPr>
                <w:szCs w:val="24"/>
              </w:rPr>
              <w:t>GfK</w:t>
            </w:r>
            <w:proofErr w:type="spellEnd"/>
          </w:p>
        </w:tc>
        <w:tc>
          <w:tcPr>
            <w:tcW w:w="4276" w:type="pct"/>
            <w:shd w:val="clear" w:color="auto" w:fill="auto"/>
          </w:tcPr>
          <w:p w14:paraId="2314B6DE" w14:textId="77777777" w:rsidR="00AA3A5F" w:rsidRPr="00B25A22" w:rsidRDefault="00AA3A5F" w:rsidP="007A68D5">
            <w:pPr>
              <w:pStyle w:val="Tabulka"/>
              <w:rPr>
                <w:szCs w:val="24"/>
              </w:rPr>
            </w:pPr>
            <w:r w:rsidRPr="00B25A22">
              <w:rPr>
                <w:szCs w:val="24"/>
              </w:rPr>
              <w:t>Mezinárodní společnost zaměřená na výzkum trhu</w:t>
            </w:r>
          </w:p>
        </w:tc>
      </w:tr>
      <w:tr w:rsidR="00AA3A5F" w:rsidRPr="00B25A22" w14:paraId="5A4406B9" w14:textId="77777777" w:rsidTr="007A68D5">
        <w:trPr>
          <w:cantSplit/>
          <w:trHeight w:val="315"/>
        </w:trPr>
        <w:tc>
          <w:tcPr>
            <w:tcW w:w="724" w:type="pct"/>
            <w:shd w:val="clear" w:color="auto" w:fill="auto"/>
          </w:tcPr>
          <w:p w14:paraId="708E34C1" w14:textId="77777777" w:rsidR="00AA3A5F" w:rsidRPr="00B25A22" w:rsidRDefault="00AA3A5F" w:rsidP="007A68D5">
            <w:pPr>
              <w:pStyle w:val="Tabulka"/>
              <w:rPr>
                <w:szCs w:val="24"/>
              </w:rPr>
            </w:pPr>
            <w:r w:rsidRPr="00B25A22">
              <w:rPr>
                <w:szCs w:val="24"/>
              </w:rPr>
              <w:t>GLOBALGAP</w:t>
            </w:r>
          </w:p>
        </w:tc>
        <w:tc>
          <w:tcPr>
            <w:tcW w:w="4276" w:type="pct"/>
            <w:shd w:val="clear" w:color="auto" w:fill="auto"/>
          </w:tcPr>
          <w:p w14:paraId="1A8ACF6B" w14:textId="77777777" w:rsidR="00AA3A5F" w:rsidRPr="00B25A22" w:rsidRDefault="00AA3A5F" w:rsidP="007A68D5">
            <w:pPr>
              <w:pStyle w:val="Tabulka"/>
              <w:rPr>
                <w:szCs w:val="24"/>
              </w:rPr>
            </w:pPr>
            <w:r w:rsidRPr="00B25A22">
              <w:rPr>
                <w:szCs w:val="24"/>
              </w:rPr>
              <w:t>Integrované standardy zemědělského zabezpečení</w:t>
            </w:r>
          </w:p>
        </w:tc>
      </w:tr>
      <w:tr w:rsidR="00AA3A5F" w:rsidRPr="00B25A22" w14:paraId="23DB2FAE" w14:textId="77777777" w:rsidTr="007A68D5">
        <w:trPr>
          <w:cantSplit/>
          <w:trHeight w:val="315"/>
        </w:trPr>
        <w:tc>
          <w:tcPr>
            <w:tcW w:w="724" w:type="pct"/>
            <w:shd w:val="clear" w:color="auto" w:fill="auto"/>
          </w:tcPr>
          <w:p w14:paraId="7EC2D2A7" w14:textId="77777777" w:rsidR="00AA3A5F" w:rsidRPr="00B25A22" w:rsidRDefault="00AA3A5F" w:rsidP="007A68D5">
            <w:pPr>
              <w:pStyle w:val="Tabulka"/>
              <w:rPr>
                <w:szCs w:val="24"/>
              </w:rPr>
            </w:pPr>
            <w:r w:rsidRPr="00B25A22">
              <w:rPr>
                <w:szCs w:val="24"/>
              </w:rPr>
              <w:t>HHI</w:t>
            </w:r>
          </w:p>
        </w:tc>
        <w:tc>
          <w:tcPr>
            <w:tcW w:w="4276" w:type="pct"/>
            <w:shd w:val="clear" w:color="auto" w:fill="auto"/>
          </w:tcPr>
          <w:p w14:paraId="13183CA5" w14:textId="77777777" w:rsidR="00AA3A5F" w:rsidRPr="00B25A22" w:rsidRDefault="00AA3A5F" w:rsidP="007A68D5">
            <w:pPr>
              <w:pStyle w:val="Tabulka"/>
              <w:rPr>
                <w:szCs w:val="24"/>
              </w:rPr>
            </w:pPr>
            <w:proofErr w:type="spellStart"/>
            <w:r w:rsidRPr="00B25A22">
              <w:rPr>
                <w:szCs w:val="24"/>
              </w:rPr>
              <w:t>Herfindahl-Hirshmanův</w:t>
            </w:r>
            <w:proofErr w:type="spellEnd"/>
            <w:r w:rsidRPr="00B25A22">
              <w:rPr>
                <w:szCs w:val="24"/>
              </w:rPr>
              <w:t xml:space="preserve"> index</w:t>
            </w:r>
          </w:p>
        </w:tc>
      </w:tr>
      <w:tr w:rsidR="00AA3A5F" w:rsidRPr="00B25A22" w14:paraId="78C13854" w14:textId="77777777" w:rsidTr="007A68D5">
        <w:trPr>
          <w:cantSplit/>
          <w:trHeight w:val="315"/>
        </w:trPr>
        <w:tc>
          <w:tcPr>
            <w:tcW w:w="724" w:type="pct"/>
            <w:shd w:val="clear" w:color="auto" w:fill="auto"/>
          </w:tcPr>
          <w:p w14:paraId="2AC0E05B" w14:textId="77777777" w:rsidR="00AA3A5F" w:rsidRPr="00B25A22" w:rsidRDefault="00AA3A5F" w:rsidP="007A68D5">
            <w:pPr>
              <w:pStyle w:val="Tabulka"/>
              <w:rPr>
                <w:szCs w:val="24"/>
              </w:rPr>
            </w:pPr>
            <w:r w:rsidRPr="00B25A22">
              <w:rPr>
                <w:szCs w:val="24"/>
              </w:rPr>
              <w:t>HM</w:t>
            </w:r>
          </w:p>
        </w:tc>
        <w:tc>
          <w:tcPr>
            <w:tcW w:w="4276" w:type="pct"/>
            <w:shd w:val="clear" w:color="auto" w:fill="auto"/>
          </w:tcPr>
          <w:p w14:paraId="446BDB19" w14:textId="77777777" w:rsidR="00AA3A5F" w:rsidRPr="00B25A22" w:rsidRDefault="00AA3A5F" w:rsidP="007A68D5">
            <w:pPr>
              <w:pStyle w:val="Tabulka"/>
              <w:rPr>
                <w:szCs w:val="24"/>
              </w:rPr>
            </w:pPr>
            <w:r w:rsidRPr="00B25A22">
              <w:rPr>
                <w:szCs w:val="24"/>
              </w:rPr>
              <w:t>Hovězí maso</w:t>
            </w:r>
          </w:p>
        </w:tc>
      </w:tr>
      <w:tr w:rsidR="00AA3A5F" w:rsidRPr="00B25A22" w14:paraId="62F2DF7C" w14:textId="77777777" w:rsidTr="007A68D5">
        <w:trPr>
          <w:trHeight w:val="315"/>
        </w:trPr>
        <w:tc>
          <w:tcPr>
            <w:tcW w:w="724" w:type="pct"/>
            <w:shd w:val="clear" w:color="auto" w:fill="auto"/>
          </w:tcPr>
          <w:p w14:paraId="279ADE16" w14:textId="77777777" w:rsidR="00AA3A5F" w:rsidRPr="00B25A22" w:rsidRDefault="00AA3A5F" w:rsidP="007A68D5">
            <w:pPr>
              <w:pStyle w:val="Tabulka"/>
              <w:rPr>
                <w:szCs w:val="24"/>
              </w:rPr>
            </w:pPr>
            <w:r w:rsidRPr="00B25A22">
              <w:rPr>
                <w:szCs w:val="24"/>
              </w:rPr>
              <w:t>CHOP</w:t>
            </w:r>
          </w:p>
        </w:tc>
        <w:tc>
          <w:tcPr>
            <w:tcW w:w="4276" w:type="pct"/>
            <w:shd w:val="clear" w:color="auto" w:fill="auto"/>
          </w:tcPr>
          <w:p w14:paraId="7B46B74C" w14:textId="77777777" w:rsidR="00AA3A5F" w:rsidRPr="00B25A22" w:rsidRDefault="00AA3A5F" w:rsidP="007A68D5">
            <w:pPr>
              <w:pStyle w:val="Tabulka"/>
              <w:rPr>
                <w:szCs w:val="24"/>
              </w:rPr>
            </w:pPr>
            <w:r w:rsidRPr="00B25A22">
              <w:rPr>
                <w:szCs w:val="24"/>
              </w:rPr>
              <w:t>Chráněné označení původu</w:t>
            </w:r>
          </w:p>
        </w:tc>
      </w:tr>
      <w:tr w:rsidR="00AA3A5F" w:rsidRPr="00B25A22" w14:paraId="061CE77E" w14:textId="77777777" w:rsidTr="007A68D5">
        <w:trPr>
          <w:trHeight w:val="315"/>
        </w:trPr>
        <w:tc>
          <w:tcPr>
            <w:tcW w:w="724" w:type="pct"/>
            <w:shd w:val="clear" w:color="auto" w:fill="auto"/>
          </w:tcPr>
          <w:p w14:paraId="1A748213" w14:textId="77777777" w:rsidR="00AA3A5F" w:rsidRPr="00B25A22" w:rsidRDefault="00AA3A5F" w:rsidP="007A68D5">
            <w:pPr>
              <w:pStyle w:val="Tabulka"/>
              <w:rPr>
                <w:szCs w:val="24"/>
              </w:rPr>
            </w:pPr>
            <w:r w:rsidRPr="00B25A22">
              <w:rPr>
                <w:szCs w:val="24"/>
              </w:rPr>
              <w:t>CHZO</w:t>
            </w:r>
          </w:p>
        </w:tc>
        <w:tc>
          <w:tcPr>
            <w:tcW w:w="4276" w:type="pct"/>
            <w:shd w:val="clear" w:color="auto" w:fill="auto"/>
          </w:tcPr>
          <w:p w14:paraId="02AEC735" w14:textId="77777777" w:rsidR="00AA3A5F" w:rsidRPr="00B25A22" w:rsidRDefault="00AA3A5F" w:rsidP="007A68D5">
            <w:pPr>
              <w:pStyle w:val="Tabulka"/>
              <w:rPr>
                <w:szCs w:val="24"/>
              </w:rPr>
            </w:pPr>
            <w:r w:rsidRPr="00B25A22">
              <w:rPr>
                <w:szCs w:val="24"/>
              </w:rPr>
              <w:t xml:space="preserve">Chráněné zeměpisné označení </w:t>
            </w:r>
          </w:p>
        </w:tc>
      </w:tr>
      <w:tr w:rsidR="00AA3A5F" w:rsidRPr="00B25A22" w14:paraId="03D0A846" w14:textId="77777777" w:rsidTr="007A68D5">
        <w:trPr>
          <w:trHeight w:val="315"/>
        </w:trPr>
        <w:tc>
          <w:tcPr>
            <w:tcW w:w="724" w:type="pct"/>
            <w:shd w:val="clear" w:color="auto" w:fill="auto"/>
          </w:tcPr>
          <w:p w14:paraId="1DE978D6" w14:textId="77777777" w:rsidR="00AA3A5F" w:rsidRPr="00B25A22" w:rsidRDefault="00AA3A5F" w:rsidP="007A68D5">
            <w:pPr>
              <w:pStyle w:val="Tabulka"/>
              <w:rPr>
                <w:szCs w:val="24"/>
              </w:rPr>
            </w:pPr>
            <w:r w:rsidRPr="00B25A22">
              <w:rPr>
                <w:szCs w:val="24"/>
              </w:rPr>
              <w:t>IFC</w:t>
            </w:r>
          </w:p>
        </w:tc>
        <w:tc>
          <w:tcPr>
            <w:tcW w:w="4276" w:type="pct"/>
            <w:shd w:val="clear" w:color="auto" w:fill="auto"/>
          </w:tcPr>
          <w:p w14:paraId="20CD6CB9" w14:textId="77777777" w:rsidR="00AA3A5F" w:rsidRPr="00B25A22" w:rsidRDefault="00AA3A5F" w:rsidP="007A68D5">
            <w:pPr>
              <w:pStyle w:val="Tabulka"/>
              <w:rPr>
                <w:szCs w:val="24"/>
              </w:rPr>
            </w:pPr>
            <w:r w:rsidRPr="00B25A22">
              <w:rPr>
                <w:szCs w:val="24"/>
              </w:rPr>
              <w:t>Mezinárodní potravinářské standardy</w:t>
            </w:r>
          </w:p>
        </w:tc>
      </w:tr>
      <w:tr w:rsidR="00AA3A5F" w:rsidRPr="00B25A22" w14:paraId="572285F0" w14:textId="77777777" w:rsidTr="007A68D5">
        <w:trPr>
          <w:trHeight w:val="315"/>
        </w:trPr>
        <w:tc>
          <w:tcPr>
            <w:tcW w:w="724" w:type="pct"/>
            <w:shd w:val="clear" w:color="auto" w:fill="auto"/>
          </w:tcPr>
          <w:p w14:paraId="76D443F4" w14:textId="77777777" w:rsidR="00AA3A5F" w:rsidRPr="00B25A22" w:rsidRDefault="00AA3A5F" w:rsidP="007A68D5">
            <w:pPr>
              <w:pStyle w:val="Tabulka"/>
              <w:rPr>
                <w:szCs w:val="24"/>
              </w:rPr>
            </w:pPr>
            <w:r w:rsidRPr="00B25A22">
              <w:rPr>
                <w:szCs w:val="24"/>
              </w:rPr>
              <w:t>IPKB</w:t>
            </w:r>
          </w:p>
        </w:tc>
        <w:tc>
          <w:tcPr>
            <w:tcW w:w="4276" w:type="pct"/>
            <w:shd w:val="clear" w:color="auto" w:fill="auto"/>
          </w:tcPr>
          <w:p w14:paraId="483FEAE1" w14:textId="77777777" w:rsidR="00AA3A5F" w:rsidRPr="00B25A22" w:rsidRDefault="00AA3A5F" w:rsidP="007A68D5">
            <w:pPr>
              <w:pStyle w:val="Tabulka"/>
              <w:rPr>
                <w:szCs w:val="24"/>
              </w:rPr>
            </w:pPr>
            <w:r w:rsidRPr="00B25A22">
              <w:rPr>
                <w:szCs w:val="24"/>
              </w:rPr>
              <w:t>Integrovaná produkce konzumních brambor</w:t>
            </w:r>
          </w:p>
        </w:tc>
      </w:tr>
      <w:tr w:rsidR="00AA3A5F" w:rsidRPr="00B25A22" w14:paraId="47E0B896" w14:textId="77777777" w:rsidTr="007A68D5">
        <w:trPr>
          <w:trHeight w:val="315"/>
        </w:trPr>
        <w:tc>
          <w:tcPr>
            <w:tcW w:w="724" w:type="pct"/>
            <w:shd w:val="clear" w:color="auto" w:fill="auto"/>
          </w:tcPr>
          <w:p w14:paraId="62793DF9" w14:textId="77777777" w:rsidR="00AA3A5F" w:rsidRPr="00B25A22" w:rsidRDefault="00AA3A5F" w:rsidP="007A68D5">
            <w:pPr>
              <w:pStyle w:val="Tabulka"/>
              <w:rPr>
                <w:szCs w:val="24"/>
              </w:rPr>
            </w:pPr>
            <w:r w:rsidRPr="00B25A22">
              <w:rPr>
                <w:szCs w:val="24"/>
              </w:rPr>
              <w:t>IPZ</w:t>
            </w:r>
          </w:p>
        </w:tc>
        <w:tc>
          <w:tcPr>
            <w:tcW w:w="4276" w:type="pct"/>
            <w:shd w:val="clear" w:color="auto" w:fill="auto"/>
          </w:tcPr>
          <w:p w14:paraId="604B67FA" w14:textId="77777777" w:rsidR="00AA3A5F" w:rsidRPr="00B25A22" w:rsidRDefault="00AA3A5F" w:rsidP="007A68D5">
            <w:pPr>
              <w:pStyle w:val="Tabulka"/>
              <w:rPr>
                <w:szCs w:val="24"/>
              </w:rPr>
            </w:pPr>
            <w:r w:rsidRPr="00B25A22">
              <w:rPr>
                <w:szCs w:val="24"/>
              </w:rPr>
              <w:t>Integrovaná produkce zeleniny</w:t>
            </w:r>
          </w:p>
        </w:tc>
      </w:tr>
      <w:tr w:rsidR="00AA3A5F" w:rsidRPr="00B25A22" w14:paraId="613F1596" w14:textId="77777777" w:rsidTr="007A68D5">
        <w:trPr>
          <w:trHeight w:val="315"/>
        </w:trPr>
        <w:tc>
          <w:tcPr>
            <w:tcW w:w="724" w:type="pct"/>
            <w:shd w:val="clear" w:color="auto" w:fill="auto"/>
          </w:tcPr>
          <w:p w14:paraId="1316395F" w14:textId="77777777" w:rsidR="00AA3A5F" w:rsidRPr="00B25A22" w:rsidRDefault="00AA3A5F" w:rsidP="007A68D5">
            <w:pPr>
              <w:pStyle w:val="Tabulka"/>
              <w:rPr>
                <w:szCs w:val="24"/>
              </w:rPr>
            </w:pPr>
            <w:r w:rsidRPr="00B25A22">
              <w:rPr>
                <w:szCs w:val="24"/>
              </w:rPr>
              <w:t>KDŘ</w:t>
            </w:r>
          </w:p>
        </w:tc>
        <w:tc>
          <w:tcPr>
            <w:tcW w:w="4276" w:type="pct"/>
            <w:shd w:val="clear" w:color="auto" w:fill="auto"/>
          </w:tcPr>
          <w:p w14:paraId="56A3B40C" w14:textId="77777777" w:rsidR="00AA3A5F" w:rsidRPr="00B25A22" w:rsidRDefault="00AA3A5F" w:rsidP="007A68D5">
            <w:pPr>
              <w:pStyle w:val="Tabulka"/>
              <w:rPr>
                <w:szCs w:val="24"/>
              </w:rPr>
            </w:pPr>
            <w:r w:rsidRPr="00B25A22">
              <w:rPr>
                <w:szCs w:val="24"/>
              </w:rPr>
              <w:t>Krátké dodavatelské řetězce</w:t>
            </w:r>
          </w:p>
        </w:tc>
      </w:tr>
      <w:tr w:rsidR="00AA3A5F" w:rsidRPr="00B25A22" w14:paraId="3DB8E56B" w14:textId="77777777" w:rsidTr="007A68D5">
        <w:trPr>
          <w:trHeight w:val="315"/>
        </w:trPr>
        <w:tc>
          <w:tcPr>
            <w:tcW w:w="724" w:type="pct"/>
            <w:shd w:val="clear" w:color="auto" w:fill="auto"/>
          </w:tcPr>
          <w:p w14:paraId="4C2C048B" w14:textId="77777777" w:rsidR="00AA3A5F" w:rsidRPr="00B25A22" w:rsidRDefault="00AA3A5F" w:rsidP="007A68D5">
            <w:pPr>
              <w:pStyle w:val="Tabulka"/>
              <w:rPr>
                <w:szCs w:val="24"/>
              </w:rPr>
            </w:pPr>
            <w:r w:rsidRPr="00B25A22">
              <w:rPr>
                <w:szCs w:val="24"/>
              </w:rPr>
              <w:t>KLASA</w:t>
            </w:r>
          </w:p>
        </w:tc>
        <w:tc>
          <w:tcPr>
            <w:tcW w:w="4276" w:type="pct"/>
            <w:shd w:val="clear" w:color="auto" w:fill="auto"/>
          </w:tcPr>
          <w:p w14:paraId="4FB7154C" w14:textId="77777777" w:rsidR="00AA3A5F" w:rsidRPr="00B25A22" w:rsidRDefault="00AA3A5F" w:rsidP="007A68D5">
            <w:pPr>
              <w:pStyle w:val="Tabulka"/>
              <w:rPr>
                <w:szCs w:val="24"/>
              </w:rPr>
            </w:pPr>
            <w:r w:rsidRPr="00B25A22">
              <w:rPr>
                <w:szCs w:val="24"/>
              </w:rPr>
              <w:t>Národní značka kvality</w:t>
            </w:r>
          </w:p>
        </w:tc>
      </w:tr>
      <w:tr w:rsidR="00AA3A5F" w:rsidRPr="00B25A22" w14:paraId="68158EDA" w14:textId="77777777" w:rsidTr="007A68D5">
        <w:trPr>
          <w:trHeight w:val="315"/>
        </w:trPr>
        <w:tc>
          <w:tcPr>
            <w:tcW w:w="724" w:type="pct"/>
            <w:shd w:val="clear" w:color="auto" w:fill="auto"/>
          </w:tcPr>
          <w:p w14:paraId="7946076B" w14:textId="77777777" w:rsidR="00AA3A5F" w:rsidRPr="00B25A22" w:rsidRDefault="00AA3A5F" w:rsidP="007A68D5">
            <w:pPr>
              <w:pStyle w:val="Tabulka"/>
              <w:rPr>
                <w:szCs w:val="24"/>
              </w:rPr>
            </w:pPr>
            <w:r w:rsidRPr="00B25A22">
              <w:rPr>
                <w:szCs w:val="24"/>
              </w:rPr>
              <w:t>MO</w:t>
            </w:r>
          </w:p>
        </w:tc>
        <w:tc>
          <w:tcPr>
            <w:tcW w:w="4276" w:type="pct"/>
            <w:shd w:val="clear" w:color="auto" w:fill="auto"/>
          </w:tcPr>
          <w:p w14:paraId="0E979400" w14:textId="77777777" w:rsidR="00AA3A5F" w:rsidRPr="00B25A22" w:rsidRDefault="00AA3A5F" w:rsidP="007A68D5">
            <w:pPr>
              <w:pStyle w:val="Tabulka"/>
              <w:rPr>
                <w:szCs w:val="24"/>
              </w:rPr>
            </w:pPr>
            <w:r w:rsidRPr="00B25A22">
              <w:rPr>
                <w:szCs w:val="24"/>
              </w:rPr>
              <w:t>Mezioborová organizace</w:t>
            </w:r>
          </w:p>
        </w:tc>
      </w:tr>
      <w:tr w:rsidR="00AA3A5F" w:rsidRPr="00B25A22" w14:paraId="5A7FA03F" w14:textId="77777777" w:rsidTr="007A68D5">
        <w:trPr>
          <w:trHeight w:val="315"/>
        </w:trPr>
        <w:tc>
          <w:tcPr>
            <w:tcW w:w="724" w:type="pct"/>
            <w:shd w:val="clear" w:color="auto" w:fill="auto"/>
          </w:tcPr>
          <w:p w14:paraId="1E162CA5" w14:textId="77777777" w:rsidR="00AA3A5F" w:rsidRPr="00B25A22" w:rsidRDefault="00AA3A5F" w:rsidP="007A68D5">
            <w:pPr>
              <w:pStyle w:val="Tabulka"/>
              <w:rPr>
                <w:szCs w:val="24"/>
              </w:rPr>
            </w:pPr>
            <w:r w:rsidRPr="00B25A22">
              <w:rPr>
                <w:szCs w:val="24"/>
              </w:rPr>
              <w:t>MPO</w:t>
            </w:r>
          </w:p>
        </w:tc>
        <w:tc>
          <w:tcPr>
            <w:tcW w:w="4276" w:type="pct"/>
            <w:shd w:val="clear" w:color="auto" w:fill="auto"/>
          </w:tcPr>
          <w:p w14:paraId="53BB7B8D" w14:textId="77777777" w:rsidR="00AA3A5F" w:rsidRPr="00B25A22" w:rsidRDefault="00AA3A5F" w:rsidP="007A68D5">
            <w:pPr>
              <w:pStyle w:val="Tabulka"/>
              <w:rPr>
                <w:szCs w:val="24"/>
              </w:rPr>
            </w:pPr>
            <w:r w:rsidRPr="00B25A22">
              <w:rPr>
                <w:szCs w:val="24"/>
              </w:rPr>
              <w:t>Ministerstvo průmyslu a obchodu</w:t>
            </w:r>
          </w:p>
        </w:tc>
      </w:tr>
      <w:tr w:rsidR="00AA3A5F" w:rsidRPr="000703B9" w14:paraId="12AB0381" w14:textId="77777777" w:rsidTr="007A68D5">
        <w:trPr>
          <w:trHeight w:val="315"/>
        </w:trPr>
        <w:tc>
          <w:tcPr>
            <w:tcW w:w="724" w:type="pct"/>
            <w:shd w:val="clear" w:color="auto" w:fill="auto"/>
          </w:tcPr>
          <w:p w14:paraId="6D336A6C" w14:textId="77777777" w:rsidR="00AA3A5F" w:rsidRPr="00B25A22" w:rsidRDefault="00AA3A5F" w:rsidP="007A68D5">
            <w:pPr>
              <w:pStyle w:val="Tabulka"/>
              <w:rPr>
                <w:szCs w:val="24"/>
              </w:rPr>
            </w:pPr>
            <w:r w:rsidRPr="00B25A22">
              <w:rPr>
                <w:szCs w:val="24"/>
              </w:rPr>
              <w:t>NACE</w:t>
            </w:r>
          </w:p>
        </w:tc>
        <w:tc>
          <w:tcPr>
            <w:tcW w:w="4276" w:type="pct"/>
            <w:shd w:val="clear" w:color="auto" w:fill="auto"/>
          </w:tcPr>
          <w:p w14:paraId="6886B3C2" w14:textId="77777777" w:rsidR="00AA3A5F" w:rsidRPr="00B25A22" w:rsidRDefault="00AA3A5F" w:rsidP="007A68D5">
            <w:pPr>
              <w:pStyle w:val="Tabulka"/>
              <w:rPr>
                <w:szCs w:val="24"/>
              </w:rPr>
            </w:pPr>
            <w:r w:rsidRPr="00B25A22">
              <w:rPr>
                <w:rStyle w:val="st"/>
                <w:rFonts w:eastAsiaTheme="majorEastAsia"/>
                <w:szCs w:val="24"/>
              </w:rPr>
              <w:t>Klasifikace ekonomických činností (CZ-</w:t>
            </w:r>
            <w:r w:rsidRPr="00B25A22">
              <w:rPr>
                <w:rStyle w:val="Zdraznn"/>
                <w:szCs w:val="24"/>
              </w:rPr>
              <w:t>NACE)</w:t>
            </w:r>
          </w:p>
        </w:tc>
      </w:tr>
      <w:tr w:rsidR="00AA3A5F" w:rsidRPr="000703B9" w14:paraId="61C1EFFA" w14:textId="77777777" w:rsidTr="007A68D5">
        <w:trPr>
          <w:cantSplit/>
          <w:trHeight w:val="315"/>
        </w:trPr>
        <w:tc>
          <w:tcPr>
            <w:tcW w:w="724" w:type="pct"/>
            <w:shd w:val="clear" w:color="auto" w:fill="auto"/>
          </w:tcPr>
          <w:p w14:paraId="45B2202A" w14:textId="77777777" w:rsidR="00AA3A5F" w:rsidRPr="00B25A22" w:rsidRDefault="00AA3A5F" w:rsidP="007A68D5">
            <w:pPr>
              <w:pStyle w:val="Tabulka"/>
              <w:rPr>
                <w:szCs w:val="24"/>
              </w:rPr>
            </w:pPr>
            <w:r w:rsidRPr="00B25A22">
              <w:rPr>
                <w:szCs w:val="24"/>
              </w:rPr>
              <w:t>NACE 10</w:t>
            </w:r>
          </w:p>
        </w:tc>
        <w:tc>
          <w:tcPr>
            <w:tcW w:w="4276" w:type="pct"/>
            <w:shd w:val="clear" w:color="auto" w:fill="auto"/>
          </w:tcPr>
          <w:p w14:paraId="5D88BCDA" w14:textId="77777777" w:rsidR="00AA3A5F" w:rsidRPr="00B25A22" w:rsidRDefault="00AA3A5F" w:rsidP="007A68D5">
            <w:pPr>
              <w:pStyle w:val="Tabulka"/>
              <w:rPr>
                <w:szCs w:val="24"/>
              </w:rPr>
            </w:pPr>
            <w:r w:rsidRPr="00B25A22">
              <w:rPr>
                <w:szCs w:val="24"/>
              </w:rPr>
              <w:t>Klasifikace ekonomických činností - Výroba potravinářských výrobků</w:t>
            </w:r>
          </w:p>
        </w:tc>
      </w:tr>
      <w:tr w:rsidR="00AA3A5F" w:rsidRPr="00B25A22" w14:paraId="32CDBC85" w14:textId="77777777" w:rsidTr="007A68D5">
        <w:trPr>
          <w:cantSplit/>
          <w:trHeight w:val="315"/>
        </w:trPr>
        <w:tc>
          <w:tcPr>
            <w:tcW w:w="724" w:type="pct"/>
            <w:shd w:val="clear" w:color="auto" w:fill="auto"/>
          </w:tcPr>
          <w:p w14:paraId="68204287" w14:textId="77777777" w:rsidR="00AA3A5F" w:rsidRPr="00B25A22" w:rsidRDefault="00AA3A5F" w:rsidP="007A68D5">
            <w:pPr>
              <w:pStyle w:val="Tabulka"/>
              <w:rPr>
                <w:szCs w:val="24"/>
              </w:rPr>
            </w:pPr>
            <w:r w:rsidRPr="00B25A22">
              <w:rPr>
                <w:szCs w:val="24"/>
              </w:rPr>
              <w:t>NV</w:t>
            </w:r>
          </w:p>
        </w:tc>
        <w:tc>
          <w:tcPr>
            <w:tcW w:w="4276" w:type="pct"/>
            <w:shd w:val="clear" w:color="auto" w:fill="auto"/>
          </w:tcPr>
          <w:p w14:paraId="38A526C9" w14:textId="77777777" w:rsidR="00AA3A5F" w:rsidRPr="00B25A22" w:rsidRDefault="00AA3A5F" w:rsidP="007A68D5">
            <w:pPr>
              <w:pStyle w:val="Tabulka"/>
              <w:rPr>
                <w:szCs w:val="24"/>
              </w:rPr>
            </w:pPr>
            <w:r w:rsidRPr="00B25A22">
              <w:rPr>
                <w:szCs w:val="24"/>
              </w:rPr>
              <w:t>Nařízení vlády</w:t>
            </w:r>
          </w:p>
        </w:tc>
      </w:tr>
      <w:tr w:rsidR="00AA3A5F" w:rsidRPr="00B25A22" w14:paraId="07BEC1EB" w14:textId="77777777" w:rsidTr="007A68D5">
        <w:trPr>
          <w:trHeight w:val="315"/>
        </w:trPr>
        <w:tc>
          <w:tcPr>
            <w:tcW w:w="724" w:type="pct"/>
            <w:shd w:val="clear" w:color="auto" w:fill="auto"/>
          </w:tcPr>
          <w:p w14:paraId="19C60971" w14:textId="77777777" w:rsidR="00AA3A5F" w:rsidRPr="00B25A22" w:rsidRDefault="00AA3A5F" w:rsidP="007A68D5">
            <w:pPr>
              <w:pStyle w:val="Tabulka"/>
              <w:rPr>
                <w:szCs w:val="24"/>
              </w:rPr>
            </w:pPr>
            <w:r w:rsidRPr="00B25A22">
              <w:rPr>
                <w:szCs w:val="24"/>
              </w:rPr>
              <w:t>OI</w:t>
            </w:r>
          </w:p>
        </w:tc>
        <w:tc>
          <w:tcPr>
            <w:tcW w:w="4276" w:type="pct"/>
            <w:shd w:val="clear" w:color="auto" w:fill="auto"/>
          </w:tcPr>
          <w:p w14:paraId="5D6506B2" w14:textId="77777777" w:rsidR="00AA3A5F" w:rsidRPr="00B25A22" w:rsidRDefault="00AA3A5F" w:rsidP="007A68D5">
            <w:pPr>
              <w:pStyle w:val="Tabulka"/>
              <w:rPr>
                <w:szCs w:val="24"/>
              </w:rPr>
            </w:pPr>
            <w:r w:rsidRPr="00B25A22">
              <w:rPr>
                <w:szCs w:val="24"/>
              </w:rPr>
              <w:t>Odvětvové intervence</w:t>
            </w:r>
          </w:p>
        </w:tc>
      </w:tr>
      <w:tr w:rsidR="00AA3A5F" w:rsidRPr="00B25A22" w14:paraId="1A9A9E6B" w14:textId="77777777" w:rsidTr="007A68D5">
        <w:trPr>
          <w:trHeight w:val="315"/>
        </w:trPr>
        <w:tc>
          <w:tcPr>
            <w:tcW w:w="724" w:type="pct"/>
            <w:shd w:val="clear" w:color="auto" w:fill="auto"/>
          </w:tcPr>
          <w:p w14:paraId="3C221363" w14:textId="77777777" w:rsidR="00AA3A5F" w:rsidRPr="00B25A22" w:rsidRDefault="00AA3A5F" w:rsidP="007A68D5">
            <w:pPr>
              <w:pStyle w:val="Tabulka"/>
              <w:rPr>
                <w:szCs w:val="24"/>
              </w:rPr>
            </w:pPr>
            <w:r w:rsidRPr="00B25A22">
              <w:rPr>
                <w:szCs w:val="24"/>
              </w:rPr>
              <w:t>OP</w:t>
            </w:r>
          </w:p>
        </w:tc>
        <w:tc>
          <w:tcPr>
            <w:tcW w:w="4276" w:type="pct"/>
            <w:shd w:val="clear" w:color="auto" w:fill="auto"/>
          </w:tcPr>
          <w:p w14:paraId="024E8D97" w14:textId="77777777" w:rsidR="00AA3A5F" w:rsidRPr="00B25A22" w:rsidRDefault="00AA3A5F" w:rsidP="007A68D5">
            <w:pPr>
              <w:pStyle w:val="Tabulka"/>
              <w:rPr>
                <w:szCs w:val="24"/>
              </w:rPr>
            </w:pPr>
            <w:r w:rsidRPr="00B25A22">
              <w:rPr>
                <w:szCs w:val="24"/>
              </w:rPr>
              <w:t>Organizace producentů</w:t>
            </w:r>
          </w:p>
        </w:tc>
      </w:tr>
      <w:tr w:rsidR="00AA3A5F" w:rsidRPr="00B25A22" w14:paraId="06154CCB" w14:textId="77777777" w:rsidTr="007A68D5">
        <w:trPr>
          <w:cantSplit/>
          <w:trHeight w:val="315"/>
        </w:trPr>
        <w:tc>
          <w:tcPr>
            <w:tcW w:w="724" w:type="pct"/>
            <w:shd w:val="clear" w:color="auto" w:fill="auto"/>
          </w:tcPr>
          <w:p w14:paraId="38BC2A11" w14:textId="77777777" w:rsidR="00AA3A5F" w:rsidRPr="00B25A22" w:rsidRDefault="00AA3A5F" w:rsidP="007A68D5">
            <w:pPr>
              <w:pStyle w:val="Tabulka"/>
              <w:rPr>
                <w:szCs w:val="24"/>
              </w:rPr>
            </w:pPr>
            <w:r w:rsidRPr="00B25A22">
              <w:rPr>
                <w:szCs w:val="24"/>
              </w:rPr>
              <w:t>OPR</w:t>
            </w:r>
          </w:p>
        </w:tc>
        <w:tc>
          <w:tcPr>
            <w:tcW w:w="4276" w:type="pct"/>
            <w:shd w:val="clear" w:color="auto" w:fill="auto"/>
          </w:tcPr>
          <w:p w14:paraId="25A6ABB0" w14:textId="77777777" w:rsidR="00AA3A5F" w:rsidRPr="00B25A22" w:rsidRDefault="00AA3A5F" w:rsidP="007A68D5">
            <w:pPr>
              <w:pStyle w:val="Tabulka"/>
              <w:rPr>
                <w:szCs w:val="24"/>
              </w:rPr>
            </w:pPr>
            <w:r w:rsidRPr="00B25A22">
              <w:rPr>
                <w:szCs w:val="24"/>
              </w:rPr>
              <w:t>Operační programy</w:t>
            </w:r>
          </w:p>
        </w:tc>
      </w:tr>
      <w:tr w:rsidR="00AA3A5F" w:rsidRPr="00B25A22" w14:paraId="12464F1F" w14:textId="77777777" w:rsidTr="007A68D5">
        <w:trPr>
          <w:cantSplit/>
          <w:trHeight w:val="315"/>
        </w:trPr>
        <w:tc>
          <w:tcPr>
            <w:tcW w:w="724" w:type="pct"/>
            <w:shd w:val="clear" w:color="auto" w:fill="auto"/>
          </w:tcPr>
          <w:p w14:paraId="7A2FB0A7" w14:textId="77777777" w:rsidR="00AA3A5F" w:rsidRPr="00B25A22" w:rsidRDefault="00AA3A5F" w:rsidP="007A68D5">
            <w:pPr>
              <w:pStyle w:val="Tabulka"/>
              <w:rPr>
                <w:szCs w:val="24"/>
              </w:rPr>
            </w:pPr>
            <w:r w:rsidRPr="00B25A22">
              <w:rPr>
                <w:szCs w:val="24"/>
              </w:rPr>
              <w:t>OZEL</w:t>
            </w:r>
          </w:p>
        </w:tc>
        <w:tc>
          <w:tcPr>
            <w:tcW w:w="4276" w:type="pct"/>
            <w:shd w:val="clear" w:color="auto" w:fill="auto"/>
          </w:tcPr>
          <w:p w14:paraId="1298FD9E" w14:textId="77777777" w:rsidR="00AA3A5F" w:rsidRPr="00B25A22" w:rsidRDefault="00AA3A5F" w:rsidP="007A68D5">
            <w:pPr>
              <w:pStyle w:val="Tabulka"/>
              <w:rPr>
                <w:szCs w:val="24"/>
              </w:rPr>
            </w:pPr>
            <w:r w:rsidRPr="00B25A22">
              <w:rPr>
                <w:szCs w:val="24"/>
              </w:rPr>
              <w:t>Sektor ovoce, zelenina</w:t>
            </w:r>
          </w:p>
        </w:tc>
      </w:tr>
      <w:tr w:rsidR="00AA3A5F" w:rsidRPr="00B25A22" w14:paraId="65C19B2B" w14:textId="77777777" w:rsidTr="007A68D5">
        <w:trPr>
          <w:cantSplit/>
          <w:trHeight w:val="315"/>
        </w:trPr>
        <w:tc>
          <w:tcPr>
            <w:tcW w:w="724" w:type="pct"/>
            <w:shd w:val="clear" w:color="auto" w:fill="auto"/>
          </w:tcPr>
          <w:p w14:paraId="2E561EFF" w14:textId="77777777" w:rsidR="00AA3A5F" w:rsidRPr="00B25A22" w:rsidRDefault="00AA3A5F" w:rsidP="007A68D5">
            <w:pPr>
              <w:pStyle w:val="Tabulka"/>
              <w:rPr>
                <w:szCs w:val="24"/>
              </w:rPr>
            </w:pPr>
            <w:r w:rsidRPr="00B25A22">
              <w:rPr>
                <w:szCs w:val="24"/>
              </w:rPr>
              <w:t>PRV</w:t>
            </w:r>
          </w:p>
        </w:tc>
        <w:tc>
          <w:tcPr>
            <w:tcW w:w="4276" w:type="pct"/>
            <w:shd w:val="clear" w:color="auto" w:fill="auto"/>
          </w:tcPr>
          <w:p w14:paraId="38EFE219" w14:textId="77777777" w:rsidR="00AA3A5F" w:rsidRPr="00B25A22" w:rsidRDefault="00AA3A5F" w:rsidP="007A68D5">
            <w:pPr>
              <w:pStyle w:val="Tabulka"/>
              <w:rPr>
                <w:szCs w:val="24"/>
              </w:rPr>
            </w:pPr>
            <w:r w:rsidRPr="00B25A22">
              <w:rPr>
                <w:szCs w:val="24"/>
              </w:rPr>
              <w:t>Program rozvoje venkova</w:t>
            </w:r>
          </w:p>
        </w:tc>
      </w:tr>
      <w:tr w:rsidR="00AA3A5F" w:rsidRPr="00B25A22" w14:paraId="19C2C9EF" w14:textId="77777777" w:rsidTr="007A68D5">
        <w:trPr>
          <w:trHeight w:val="315"/>
        </w:trPr>
        <w:tc>
          <w:tcPr>
            <w:tcW w:w="724" w:type="pct"/>
            <w:shd w:val="clear" w:color="auto" w:fill="auto"/>
          </w:tcPr>
          <w:p w14:paraId="4F6AA267" w14:textId="77777777" w:rsidR="00AA3A5F" w:rsidRPr="00B25A22" w:rsidRDefault="00AA3A5F" w:rsidP="007A68D5">
            <w:pPr>
              <w:pStyle w:val="Tabulka"/>
              <w:rPr>
                <w:szCs w:val="24"/>
              </w:rPr>
            </w:pPr>
            <w:r w:rsidRPr="00B25A22">
              <w:rPr>
                <w:szCs w:val="24"/>
              </w:rPr>
              <w:lastRenderedPageBreak/>
              <w:t>RP</w:t>
            </w:r>
          </w:p>
        </w:tc>
        <w:tc>
          <w:tcPr>
            <w:tcW w:w="4276" w:type="pct"/>
            <w:shd w:val="clear" w:color="auto" w:fill="auto"/>
          </w:tcPr>
          <w:p w14:paraId="48E524D5" w14:textId="77777777" w:rsidR="00AA3A5F" w:rsidRPr="00B25A22" w:rsidRDefault="00AA3A5F" w:rsidP="007A68D5">
            <w:pPr>
              <w:pStyle w:val="Tabulka"/>
              <w:rPr>
                <w:szCs w:val="24"/>
              </w:rPr>
            </w:pPr>
            <w:r w:rsidRPr="00B25A22">
              <w:rPr>
                <w:szCs w:val="24"/>
              </w:rPr>
              <w:t>Regionální potravina</w:t>
            </w:r>
          </w:p>
        </w:tc>
      </w:tr>
      <w:tr w:rsidR="00AA3A5F" w:rsidRPr="00B25A22" w14:paraId="19075055" w14:textId="77777777" w:rsidTr="007A68D5">
        <w:trPr>
          <w:trHeight w:val="315"/>
        </w:trPr>
        <w:tc>
          <w:tcPr>
            <w:tcW w:w="724" w:type="pct"/>
            <w:shd w:val="clear" w:color="auto" w:fill="auto"/>
          </w:tcPr>
          <w:p w14:paraId="60C9A565" w14:textId="77777777" w:rsidR="00AA3A5F" w:rsidRPr="00B25A22" w:rsidRDefault="00AA3A5F" w:rsidP="007A68D5">
            <w:pPr>
              <w:pStyle w:val="Tabulka"/>
              <w:rPr>
                <w:szCs w:val="24"/>
              </w:rPr>
            </w:pPr>
            <w:r w:rsidRPr="00B25A22">
              <w:rPr>
                <w:szCs w:val="24"/>
              </w:rPr>
              <w:t>SC</w:t>
            </w:r>
          </w:p>
        </w:tc>
        <w:tc>
          <w:tcPr>
            <w:tcW w:w="4276" w:type="pct"/>
            <w:shd w:val="clear" w:color="auto" w:fill="auto"/>
          </w:tcPr>
          <w:p w14:paraId="32DB1026" w14:textId="77777777" w:rsidR="00AA3A5F" w:rsidRPr="00B25A22" w:rsidRDefault="00AA3A5F" w:rsidP="007A68D5">
            <w:pPr>
              <w:pStyle w:val="Tabulka"/>
              <w:rPr>
                <w:szCs w:val="24"/>
              </w:rPr>
            </w:pPr>
            <w:r w:rsidRPr="00B25A22">
              <w:rPr>
                <w:szCs w:val="24"/>
              </w:rPr>
              <w:t>Spotřebitelské ceny</w:t>
            </w:r>
          </w:p>
        </w:tc>
      </w:tr>
      <w:tr w:rsidR="00AA3A5F" w:rsidRPr="00B25A22" w14:paraId="65E69F34" w14:textId="77777777" w:rsidTr="007A68D5">
        <w:trPr>
          <w:trHeight w:val="315"/>
        </w:trPr>
        <w:tc>
          <w:tcPr>
            <w:tcW w:w="724" w:type="pct"/>
            <w:shd w:val="clear" w:color="auto" w:fill="auto"/>
          </w:tcPr>
          <w:p w14:paraId="48A18E24" w14:textId="77777777" w:rsidR="00AA3A5F" w:rsidRPr="00B25A22" w:rsidRDefault="00AA3A5F" w:rsidP="007A68D5">
            <w:pPr>
              <w:pStyle w:val="Tabulka"/>
              <w:rPr>
                <w:szCs w:val="24"/>
              </w:rPr>
            </w:pPr>
            <w:r w:rsidRPr="00B25A22">
              <w:rPr>
                <w:szCs w:val="24"/>
              </w:rPr>
              <w:t>SOP</w:t>
            </w:r>
          </w:p>
        </w:tc>
        <w:tc>
          <w:tcPr>
            <w:tcW w:w="4276" w:type="pct"/>
            <w:shd w:val="clear" w:color="auto" w:fill="auto"/>
          </w:tcPr>
          <w:p w14:paraId="78D6DCEE" w14:textId="77777777" w:rsidR="00AA3A5F" w:rsidRPr="00B25A22" w:rsidRDefault="00AA3A5F" w:rsidP="007A68D5">
            <w:pPr>
              <w:pStyle w:val="Tabulka"/>
              <w:rPr>
                <w:szCs w:val="24"/>
              </w:rPr>
            </w:pPr>
            <w:r w:rsidRPr="00B25A22">
              <w:rPr>
                <w:szCs w:val="24"/>
              </w:rPr>
              <w:t>Sdružení organizací producentů</w:t>
            </w:r>
          </w:p>
        </w:tc>
      </w:tr>
      <w:tr w:rsidR="00AA3A5F" w:rsidRPr="00B25A22" w14:paraId="05C31DEE" w14:textId="77777777" w:rsidTr="007A68D5">
        <w:trPr>
          <w:cantSplit/>
          <w:trHeight w:val="315"/>
        </w:trPr>
        <w:tc>
          <w:tcPr>
            <w:tcW w:w="724" w:type="pct"/>
            <w:shd w:val="clear" w:color="auto" w:fill="auto"/>
          </w:tcPr>
          <w:p w14:paraId="5B767AC3" w14:textId="77777777" w:rsidR="00AA3A5F" w:rsidRPr="00B25A22" w:rsidRDefault="00AA3A5F" w:rsidP="007A68D5">
            <w:pPr>
              <w:pStyle w:val="Tabulka"/>
              <w:rPr>
                <w:szCs w:val="24"/>
              </w:rPr>
            </w:pPr>
            <w:r w:rsidRPr="00B25A22">
              <w:rPr>
                <w:szCs w:val="24"/>
              </w:rPr>
              <w:t>SOT</w:t>
            </w:r>
          </w:p>
        </w:tc>
        <w:tc>
          <w:tcPr>
            <w:tcW w:w="4276" w:type="pct"/>
            <w:shd w:val="clear" w:color="auto" w:fill="auto"/>
          </w:tcPr>
          <w:p w14:paraId="6B5061C1" w14:textId="77777777" w:rsidR="00AA3A5F" w:rsidRPr="00B25A22" w:rsidRDefault="00AA3A5F" w:rsidP="007A68D5">
            <w:pPr>
              <w:pStyle w:val="Tabulka"/>
              <w:rPr>
                <w:szCs w:val="24"/>
              </w:rPr>
            </w:pPr>
            <w:r w:rsidRPr="00B25A22">
              <w:rPr>
                <w:szCs w:val="24"/>
              </w:rPr>
              <w:t>Společná organizace trhů</w:t>
            </w:r>
          </w:p>
        </w:tc>
      </w:tr>
      <w:tr w:rsidR="00AA3A5F" w:rsidRPr="00B25A22" w14:paraId="3DFE1D41" w14:textId="77777777" w:rsidTr="007A68D5">
        <w:trPr>
          <w:cantSplit/>
          <w:trHeight w:val="315"/>
        </w:trPr>
        <w:tc>
          <w:tcPr>
            <w:tcW w:w="724" w:type="pct"/>
            <w:shd w:val="clear" w:color="auto" w:fill="auto"/>
          </w:tcPr>
          <w:p w14:paraId="295FEDD5" w14:textId="77777777" w:rsidR="00AA3A5F" w:rsidRPr="00B25A22" w:rsidRDefault="00AA3A5F" w:rsidP="007A68D5">
            <w:pPr>
              <w:pStyle w:val="Tabulka"/>
              <w:rPr>
                <w:szCs w:val="24"/>
              </w:rPr>
            </w:pPr>
            <w:r w:rsidRPr="00B25A22">
              <w:rPr>
                <w:szCs w:val="24"/>
              </w:rPr>
              <w:t>SISPO</w:t>
            </w:r>
          </w:p>
        </w:tc>
        <w:tc>
          <w:tcPr>
            <w:tcW w:w="4276" w:type="pct"/>
            <w:shd w:val="clear" w:color="auto" w:fill="auto"/>
          </w:tcPr>
          <w:p w14:paraId="6033CAF6" w14:textId="77777777" w:rsidR="00AA3A5F" w:rsidRPr="00B25A22" w:rsidRDefault="00AA3A5F" w:rsidP="007A68D5">
            <w:pPr>
              <w:pStyle w:val="Tabulka"/>
              <w:rPr>
                <w:szCs w:val="24"/>
              </w:rPr>
            </w:pPr>
            <w:r w:rsidRPr="00B25A22">
              <w:rPr>
                <w:szCs w:val="24"/>
              </w:rPr>
              <w:t>Svaz pro integrované systémy produkce ovoce</w:t>
            </w:r>
          </w:p>
        </w:tc>
      </w:tr>
      <w:tr w:rsidR="00AA3A5F" w:rsidRPr="00B25A22" w14:paraId="049D0C97" w14:textId="77777777" w:rsidTr="007A68D5">
        <w:trPr>
          <w:cantSplit/>
          <w:trHeight w:val="315"/>
        </w:trPr>
        <w:tc>
          <w:tcPr>
            <w:tcW w:w="724" w:type="pct"/>
            <w:shd w:val="clear" w:color="auto" w:fill="auto"/>
          </w:tcPr>
          <w:p w14:paraId="58B510F1" w14:textId="77777777" w:rsidR="00AA3A5F" w:rsidRPr="00B25A22" w:rsidRDefault="00AA3A5F" w:rsidP="007A68D5">
            <w:pPr>
              <w:pStyle w:val="Tabulka"/>
              <w:rPr>
                <w:szCs w:val="24"/>
              </w:rPr>
            </w:pPr>
            <w:r w:rsidRPr="00B25A22">
              <w:rPr>
                <w:szCs w:val="24"/>
              </w:rPr>
              <w:t>SZIF</w:t>
            </w:r>
          </w:p>
        </w:tc>
        <w:tc>
          <w:tcPr>
            <w:tcW w:w="4276" w:type="pct"/>
            <w:shd w:val="clear" w:color="auto" w:fill="auto"/>
          </w:tcPr>
          <w:p w14:paraId="3557CE95" w14:textId="77777777" w:rsidR="00AA3A5F" w:rsidRPr="00B25A22" w:rsidRDefault="00AA3A5F" w:rsidP="007A68D5">
            <w:pPr>
              <w:pStyle w:val="Tabulka"/>
              <w:rPr>
                <w:szCs w:val="24"/>
              </w:rPr>
            </w:pPr>
            <w:r w:rsidRPr="00B25A22">
              <w:rPr>
                <w:szCs w:val="24"/>
              </w:rPr>
              <w:t>Státní zemědělský intervenční fond</w:t>
            </w:r>
          </w:p>
        </w:tc>
      </w:tr>
      <w:tr w:rsidR="00AA3A5F" w:rsidRPr="00B25A22" w14:paraId="790816C2" w14:textId="77777777" w:rsidTr="007A68D5">
        <w:trPr>
          <w:cantSplit/>
          <w:trHeight w:val="315"/>
        </w:trPr>
        <w:tc>
          <w:tcPr>
            <w:tcW w:w="724" w:type="pct"/>
            <w:shd w:val="clear" w:color="auto" w:fill="auto"/>
          </w:tcPr>
          <w:p w14:paraId="17F8A3E5" w14:textId="77777777" w:rsidR="00AA3A5F" w:rsidRPr="00B25A22" w:rsidRDefault="00AA3A5F" w:rsidP="007A68D5">
            <w:pPr>
              <w:pStyle w:val="Tabulka"/>
              <w:rPr>
                <w:szCs w:val="24"/>
              </w:rPr>
            </w:pPr>
            <w:r w:rsidRPr="00B25A22">
              <w:rPr>
                <w:szCs w:val="24"/>
              </w:rPr>
              <w:t>SZP</w:t>
            </w:r>
          </w:p>
        </w:tc>
        <w:tc>
          <w:tcPr>
            <w:tcW w:w="4276" w:type="pct"/>
            <w:shd w:val="clear" w:color="auto" w:fill="auto"/>
          </w:tcPr>
          <w:p w14:paraId="38B45405" w14:textId="77777777" w:rsidR="00AA3A5F" w:rsidRPr="00B25A22" w:rsidRDefault="00AA3A5F" w:rsidP="007A68D5">
            <w:pPr>
              <w:pStyle w:val="Tabulka"/>
              <w:rPr>
                <w:szCs w:val="24"/>
              </w:rPr>
            </w:pPr>
            <w:r w:rsidRPr="00B25A22">
              <w:rPr>
                <w:szCs w:val="24"/>
              </w:rPr>
              <w:t>Společná zemědělská politika</w:t>
            </w:r>
          </w:p>
        </w:tc>
      </w:tr>
      <w:tr w:rsidR="00AA3A5F" w:rsidRPr="000703B9" w14:paraId="2C91FCF8" w14:textId="77777777" w:rsidTr="007A68D5">
        <w:trPr>
          <w:trHeight w:val="315"/>
        </w:trPr>
        <w:tc>
          <w:tcPr>
            <w:tcW w:w="724" w:type="pct"/>
            <w:shd w:val="clear" w:color="auto" w:fill="auto"/>
          </w:tcPr>
          <w:p w14:paraId="465E139A" w14:textId="77777777" w:rsidR="00AA3A5F" w:rsidRPr="00B25A22" w:rsidRDefault="00AA3A5F" w:rsidP="007A68D5">
            <w:pPr>
              <w:pStyle w:val="Tabulka"/>
              <w:rPr>
                <w:szCs w:val="24"/>
              </w:rPr>
            </w:pPr>
            <w:r w:rsidRPr="00B25A22">
              <w:rPr>
                <w:szCs w:val="24"/>
              </w:rPr>
              <w:t>TC AV ČR</w:t>
            </w:r>
          </w:p>
        </w:tc>
        <w:tc>
          <w:tcPr>
            <w:tcW w:w="4276" w:type="pct"/>
            <w:shd w:val="clear" w:color="auto" w:fill="auto"/>
          </w:tcPr>
          <w:p w14:paraId="2222CFFE" w14:textId="77777777" w:rsidR="00AA3A5F" w:rsidRPr="00B25A22" w:rsidRDefault="00AA3A5F" w:rsidP="007A68D5">
            <w:pPr>
              <w:pStyle w:val="Tabulka"/>
              <w:rPr>
                <w:szCs w:val="24"/>
              </w:rPr>
            </w:pPr>
            <w:r w:rsidRPr="00B25A22">
              <w:rPr>
                <w:szCs w:val="24"/>
              </w:rPr>
              <w:t>Technologické centrum Akademie věd ČR</w:t>
            </w:r>
          </w:p>
        </w:tc>
      </w:tr>
      <w:tr w:rsidR="00AA3A5F" w:rsidRPr="000703B9" w14:paraId="2FCB0E2E" w14:textId="77777777" w:rsidTr="007A68D5">
        <w:trPr>
          <w:trHeight w:val="315"/>
        </w:trPr>
        <w:tc>
          <w:tcPr>
            <w:tcW w:w="724" w:type="pct"/>
            <w:shd w:val="clear" w:color="auto" w:fill="auto"/>
          </w:tcPr>
          <w:p w14:paraId="77A28AAF" w14:textId="77777777" w:rsidR="00AA3A5F" w:rsidRPr="00B25A22" w:rsidRDefault="00AA3A5F" w:rsidP="007A68D5">
            <w:pPr>
              <w:pStyle w:val="Tabulka"/>
              <w:rPr>
                <w:szCs w:val="24"/>
              </w:rPr>
            </w:pPr>
            <w:r w:rsidRPr="00B25A22">
              <w:rPr>
                <w:szCs w:val="24"/>
              </w:rPr>
              <w:t>VCS</w:t>
            </w:r>
          </w:p>
        </w:tc>
        <w:tc>
          <w:tcPr>
            <w:tcW w:w="4276" w:type="pct"/>
            <w:shd w:val="clear" w:color="auto" w:fill="auto"/>
          </w:tcPr>
          <w:p w14:paraId="31AF5E8D" w14:textId="77777777" w:rsidR="00AA3A5F" w:rsidRPr="00B25A22" w:rsidRDefault="00AA3A5F" w:rsidP="007A68D5">
            <w:pPr>
              <w:pStyle w:val="Tabulka"/>
              <w:rPr>
                <w:szCs w:val="24"/>
              </w:rPr>
            </w:pPr>
            <w:r w:rsidRPr="00B25A22">
              <w:rPr>
                <w:szCs w:val="24"/>
              </w:rPr>
              <w:t>Dobrovolná podpora vázaná na produkci</w:t>
            </w:r>
          </w:p>
        </w:tc>
      </w:tr>
      <w:tr w:rsidR="00AA3A5F" w:rsidRPr="00B25A22" w14:paraId="380A6DD1" w14:textId="77777777" w:rsidTr="007A68D5">
        <w:trPr>
          <w:trHeight w:val="315"/>
        </w:trPr>
        <w:tc>
          <w:tcPr>
            <w:tcW w:w="724" w:type="pct"/>
            <w:shd w:val="clear" w:color="auto" w:fill="auto"/>
          </w:tcPr>
          <w:p w14:paraId="1BEBD514" w14:textId="77777777" w:rsidR="00AA3A5F" w:rsidRPr="00B25A22" w:rsidRDefault="00AA3A5F" w:rsidP="007A68D5">
            <w:pPr>
              <w:pStyle w:val="Tabulka"/>
              <w:rPr>
                <w:szCs w:val="24"/>
              </w:rPr>
            </w:pPr>
            <w:r w:rsidRPr="00B25A22">
              <w:rPr>
                <w:szCs w:val="24"/>
              </w:rPr>
              <w:t>VS</w:t>
            </w:r>
          </w:p>
        </w:tc>
        <w:tc>
          <w:tcPr>
            <w:tcW w:w="4276" w:type="pct"/>
            <w:shd w:val="clear" w:color="auto" w:fill="auto"/>
          </w:tcPr>
          <w:p w14:paraId="415A15FD" w14:textId="77777777" w:rsidR="00AA3A5F" w:rsidRPr="00B25A22" w:rsidRDefault="00AA3A5F" w:rsidP="007A68D5">
            <w:pPr>
              <w:pStyle w:val="Tabulka"/>
              <w:rPr>
                <w:szCs w:val="24"/>
              </w:rPr>
            </w:pPr>
            <w:r w:rsidRPr="00B25A22">
              <w:rPr>
                <w:szCs w:val="24"/>
              </w:rPr>
              <w:t>Vnitrostátní strategie</w:t>
            </w:r>
          </w:p>
        </w:tc>
      </w:tr>
      <w:tr w:rsidR="00AA3A5F" w:rsidRPr="00B25A22" w14:paraId="26691BE4" w14:textId="77777777" w:rsidTr="007A68D5">
        <w:trPr>
          <w:trHeight w:val="315"/>
        </w:trPr>
        <w:tc>
          <w:tcPr>
            <w:tcW w:w="724" w:type="pct"/>
            <w:shd w:val="clear" w:color="auto" w:fill="auto"/>
          </w:tcPr>
          <w:p w14:paraId="0323BBC7" w14:textId="77777777" w:rsidR="00AA3A5F" w:rsidRPr="00B25A22" w:rsidRDefault="00AA3A5F" w:rsidP="007A68D5">
            <w:pPr>
              <w:pStyle w:val="Tabulka"/>
              <w:rPr>
                <w:szCs w:val="24"/>
              </w:rPr>
            </w:pPr>
            <w:r w:rsidRPr="00B25A22">
              <w:rPr>
                <w:szCs w:val="24"/>
              </w:rPr>
              <w:t>ZUČM</w:t>
            </w:r>
          </w:p>
        </w:tc>
        <w:tc>
          <w:tcPr>
            <w:tcW w:w="4276" w:type="pct"/>
            <w:shd w:val="clear" w:color="auto" w:fill="auto"/>
          </w:tcPr>
          <w:p w14:paraId="0CE77466" w14:textId="77777777" w:rsidR="00AA3A5F" w:rsidRPr="00B25A22" w:rsidRDefault="00AA3A5F" w:rsidP="007A68D5">
            <w:pPr>
              <w:pStyle w:val="Tabulka"/>
              <w:rPr>
                <w:szCs w:val="24"/>
              </w:rPr>
            </w:pPr>
            <w:r w:rsidRPr="00B25A22">
              <w:rPr>
                <w:szCs w:val="24"/>
              </w:rPr>
              <w:t>Zelinářská unie Čech a Moravy</w:t>
            </w:r>
          </w:p>
        </w:tc>
      </w:tr>
    </w:tbl>
    <w:p w14:paraId="4CBA95DD" w14:textId="77777777" w:rsidR="00E032F8" w:rsidRPr="00B25A22" w:rsidRDefault="00E032F8" w:rsidP="00AA3A5F">
      <w:pPr>
        <w:spacing w:after="160" w:line="259" w:lineRule="auto"/>
        <w:jc w:val="left"/>
        <w:rPr>
          <w:rFonts w:cs="Times New Roman"/>
          <w:b/>
          <w:sz w:val="32"/>
          <w:lang w:val="cs-CZ"/>
        </w:rPr>
      </w:pPr>
    </w:p>
    <w:p w14:paraId="7060AE88" w14:textId="0CB4BAF6" w:rsidR="00E032F8" w:rsidRDefault="00E032F8" w:rsidP="00E57A20">
      <w:pPr>
        <w:pStyle w:val="UZEINadpis1stbezsla"/>
      </w:pPr>
      <w:bookmarkStart w:id="6" w:name="_Toc80969598"/>
      <w:bookmarkStart w:id="7" w:name="_Toc81743379"/>
      <w:bookmarkStart w:id="8" w:name="_Toc81743827"/>
      <w:r w:rsidRPr="00B25A22">
        <w:t>Seznam tabulek</w:t>
      </w:r>
      <w:bookmarkEnd w:id="6"/>
      <w:bookmarkEnd w:id="7"/>
      <w:bookmarkEnd w:id="8"/>
    </w:p>
    <w:p w14:paraId="202CDCCE" w14:textId="16904CA8" w:rsidR="00E57A20" w:rsidRDefault="00E57A20"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r>
        <w:rPr>
          <w:rFonts w:asciiTheme="minorHAnsi" w:hAnsiTheme="minorHAnsi" w:cs="Times New Roman"/>
          <w:b/>
          <w:bCs/>
          <w:caps/>
          <w:smallCaps/>
          <w:szCs w:val="20"/>
        </w:rPr>
        <w:fldChar w:fldCharType="begin"/>
      </w:r>
      <w:r>
        <w:rPr>
          <w:rFonts w:asciiTheme="minorHAnsi" w:hAnsiTheme="minorHAnsi" w:cs="Times New Roman"/>
          <w:b/>
          <w:bCs/>
          <w:caps/>
          <w:smallCaps/>
          <w:szCs w:val="20"/>
        </w:rPr>
        <w:instrText xml:space="preserve"> TOC \h \z \t "UZEI TaB;4" </w:instrText>
      </w:r>
      <w:r>
        <w:rPr>
          <w:rFonts w:asciiTheme="minorHAnsi" w:hAnsiTheme="minorHAnsi" w:cs="Times New Roman"/>
          <w:b/>
          <w:bCs/>
          <w:caps/>
          <w:smallCaps/>
          <w:szCs w:val="20"/>
        </w:rPr>
        <w:fldChar w:fldCharType="separate"/>
      </w:r>
      <w:hyperlink w:anchor="_Toc81743437" w:history="1">
        <w:r w:rsidRPr="00006B1B">
          <w:rPr>
            <w:rStyle w:val="Hypertextovodkaz"/>
            <w:rFonts w:eastAsia="Calibri" w:cs="Times New Roman"/>
            <w:noProof/>
          </w:rPr>
          <w:t>Tabulka 1</w:t>
        </w:r>
        <w:r>
          <w:rPr>
            <w:rFonts w:asciiTheme="minorHAnsi" w:eastAsiaTheme="minorEastAsia" w:hAnsiTheme="minorHAnsi"/>
            <w:noProof/>
            <w:sz w:val="24"/>
            <w:szCs w:val="24"/>
            <w:lang w:val="cs-CZ" w:eastAsia="cs-CZ"/>
          </w:rPr>
          <w:tab/>
        </w:r>
        <w:r w:rsidRPr="00006B1B">
          <w:rPr>
            <w:rStyle w:val="Hypertextovodkaz"/>
            <w:rFonts w:cs="Times New Roman"/>
            <w:noProof/>
          </w:rPr>
          <w:t>Ukazatele dopadu a ukazatele výsledku</w:t>
        </w:r>
        <w:r>
          <w:rPr>
            <w:noProof/>
            <w:webHidden/>
          </w:rPr>
          <w:tab/>
        </w:r>
        <w:r>
          <w:rPr>
            <w:noProof/>
            <w:webHidden/>
          </w:rPr>
          <w:fldChar w:fldCharType="begin"/>
        </w:r>
        <w:r>
          <w:rPr>
            <w:noProof/>
            <w:webHidden/>
          </w:rPr>
          <w:instrText xml:space="preserve"> PAGEREF _Toc81743437 \h </w:instrText>
        </w:r>
        <w:r>
          <w:rPr>
            <w:noProof/>
            <w:webHidden/>
          </w:rPr>
        </w:r>
        <w:r>
          <w:rPr>
            <w:noProof/>
            <w:webHidden/>
          </w:rPr>
          <w:fldChar w:fldCharType="separate"/>
        </w:r>
        <w:r>
          <w:rPr>
            <w:noProof/>
            <w:webHidden/>
          </w:rPr>
          <w:t>7</w:t>
        </w:r>
        <w:r>
          <w:rPr>
            <w:noProof/>
            <w:webHidden/>
          </w:rPr>
          <w:fldChar w:fldCharType="end"/>
        </w:r>
      </w:hyperlink>
    </w:p>
    <w:p w14:paraId="741F83C7" w14:textId="39BF8F9C"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38" w:history="1">
        <w:r w:rsidR="00E57A20" w:rsidRPr="00006B1B">
          <w:rPr>
            <w:rStyle w:val="Hypertextovodkaz"/>
            <w:rFonts w:cs="Times New Roman"/>
            <w:noProof/>
          </w:rPr>
          <w:t>Tabulka 2</w:t>
        </w:r>
        <w:r w:rsidR="00E57A20">
          <w:rPr>
            <w:rFonts w:asciiTheme="minorHAnsi" w:eastAsiaTheme="minorEastAsia" w:hAnsiTheme="minorHAnsi"/>
            <w:noProof/>
            <w:sz w:val="24"/>
            <w:szCs w:val="24"/>
            <w:lang w:val="cs-CZ" w:eastAsia="cs-CZ"/>
          </w:rPr>
          <w:tab/>
        </w:r>
        <w:r w:rsidR="00E57A20" w:rsidRPr="00006B1B">
          <w:rPr>
            <w:rStyle w:val="Hypertextovodkaz"/>
            <w:rFonts w:cs="Times New Roman"/>
            <w:noProof/>
          </w:rPr>
          <w:t>Ukazatele výstupu</w:t>
        </w:r>
        <w:r w:rsidR="00E57A20">
          <w:rPr>
            <w:noProof/>
            <w:webHidden/>
          </w:rPr>
          <w:tab/>
        </w:r>
        <w:r w:rsidR="00E57A20">
          <w:rPr>
            <w:noProof/>
            <w:webHidden/>
          </w:rPr>
          <w:fldChar w:fldCharType="begin"/>
        </w:r>
        <w:r w:rsidR="00E57A20">
          <w:rPr>
            <w:noProof/>
            <w:webHidden/>
          </w:rPr>
          <w:instrText xml:space="preserve"> PAGEREF _Toc81743438 \h </w:instrText>
        </w:r>
        <w:r w:rsidR="00E57A20">
          <w:rPr>
            <w:noProof/>
            <w:webHidden/>
          </w:rPr>
        </w:r>
        <w:r w:rsidR="00E57A20">
          <w:rPr>
            <w:noProof/>
            <w:webHidden/>
          </w:rPr>
          <w:fldChar w:fldCharType="separate"/>
        </w:r>
        <w:r w:rsidR="00E57A20">
          <w:rPr>
            <w:noProof/>
            <w:webHidden/>
          </w:rPr>
          <w:t>7</w:t>
        </w:r>
        <w:r w:rsidR="00E57A20">
          <w:rPr>
            <w:noProof/>
            <w:webHidden/>
          </w:rPr>
          <w:fldChar w:fldCharType="end"/>
        </w:r>
      </w:hyperlink>
    </w:p>
    <w:p w14:paraId="780F6B4A" w14:textId="7ABD4054"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39" w:history="1">
        <w:r w:rsidR="00E57A20" w:rsidRPr="00006B1B">
          <w:rPr>
            <w:rStyle w:val="Hypertextovodkaz"/>
            <w:rFonts w:eastAsia="Calibri" w:cs="Times New Roman"/>
            <w:noProof/>
          </w:rPr>
          <w:t>Tabulka 3</w:t>
        </w:r>
        <w:r w:rsidR="00E57A20">
          <w:rPr>
            <w:rFonts w:asciiTheme="minorHAnsi" w:eastAsiaTheme="minorEastAsia" w:hAnsiTheme="minorHAnsi"/>
            <w:noProof/>
            <w:sz w:val="24"/>
            <w:szCs w:val="24"/>
            <w:lang w:val="cs-CZ" w:eastAsia="cs-CZ"/>
          </w:rPr>
          <w:tab/>
        </w:r>
        <w:r w:rsidR="00E57A20" w:rsidRPr="00006B1B">
          <w:rPr>
            <w:rStyle w:val="Hypertextovodkaz"/>
            <w:rFonts w:cs="Times New Roman"/>
            <w:noProof/>
          </w:rPr>
          <w:t>Ukazatele kontextu</w:t>
        </w:r>
        <w:r w:rsidR="00E57A20">
          <w:rPr>
            <w:noProof/>
            <w:webHidden/>
          </w:rPr>
          <w:tab/>
        </w:r>
        <w:r w:rsidR="00E57A20">
          <w:rPr>
            <w:noProof/>
            <w:webHidden/>
          </w:rPr>
          <w:fldChar w:fldCharType="begin"/>
        </w:r>
        <w:r w:rsidR="00E57A20">
          <w:rPr>
            <w:noProof/>
            <w:webHidden/>
          </w:rPr>
          <w:instrText xml:space="preserve"> PAGEREF _Toc81743439 \h </w:instrText>
        </w:r>
        <w:r w:rsidR="00E57A20">
          <w:rPr>
            <w:noProof/>
            <w:webHidden/>
          </w:rPr>
        </w:r>
        <w:r w:rsidR="00E57A20">
          <w:rPr>
            <w:noProof/>
            <w:webHidden/>
          </w:rPr>
          <w:fldChar w:fldCharType="separate"/>
        </w:r>
        <w:r w:rsidR="00E57A20">
          <w:rPr>
            <w:noProof/>
            <w:webHidden/>
          </w:rPr>
          <w:t>7</w:t>
        </w:r>
        <w:r w:rsidR="00E57A20">
          <w:rPr>
            <w:noProof/>
            <w:webHidden/>
          </w:rPr>
          <w:fldChar w:fldCharType="end"/>
        </w:r>
      </w:hyperlink>
    </w:p>
    <w:p w14:paraId="0293FBC9" w14:textId="19716A55"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40" w:history="1">
        <w:r w:rsidR="00E57A20" w:rsidRPr="00006B1B">
          <w:rPr>
            <w:rStyle w:val="Hypertextovodkaz"/>
            <w:rFonts w:eastAsia="Calibri" w:cs="Times New Roman"/>
            <w:noProof/>
          </w:rPr>
          <w:t>Tabulka 4</w:t>
        </w:r>
        <w:r w:rsidR="00E57A20">
          <w:rPr>
            <w:rFonts w:asciiTheme="minorHAnsi" w:eastAsiaTheme="minorEastAsia" w:hAnsiTheme="minorHAnsi"/>
            <w:noProof/>
            <w:sz w:val="24"/>
            <w:szCs w:val="24"/>
            <w:lang w:val="cs-CZ" w:eastAsia="cs-CZ"/>
          </w:rPr>
          <w:tab/>
        </w:r>
        <w:r w:rsidR="00E57A20" w:rsidRPr="00006B1B">
          <w:rPr>
            <w:rStyle w:val="Hypertextovodkaz"/>
            <w:rFonts w:eastAsia="Calibri" w:cs="Times New Roman"/>
            <w:noProof/>
          </w:rPr>
          <w:t>Obrat v odvětví NACE 10 zpracování potravin</w:t>
        </w:r>
        <w:r w:rsidR="00E57A20">
          <w:rPr>
            <w:noProof/>
            <w:webHidden/>
          </w:rPr>
          <w:tab/>
        </w:r>
        <w:r w:rsidR="00E57A20">
          <w:rPr>
            <w:noProof/>
            <w:webHidden/>
          </w:rPr>
          <w:fldChar w:fldCharType="begin"/>
        </w:r>
        <w:r w:rsidR="00E57A20">
          <w:rPr>
            <w:noProof/>
            <w:webHidden/>
          </w:rPr>
          <w:instrText xml:space="preserve"> PAGEREF _Toc81743440 \h </w:instrText>
        </w:r>
        <w:r w:rsidR="00E57A20">
          <w:rPr>
            <w:noProof/>
            <w:webHidden/>
          </w:rPr>
        </w:r>
        <w:r w:rsidR="00E57A20">
          <w:rPr>
            <w:noProof/>
            <w:webHidden/>
          </w:rPr>
          <w:fldChar w:fldCharType="separate"/>
        </w:r>
        <w:r w:rsidR="00E57A20">
          <w:rPr>
            <w:noProof/>
            <w:webHidden/>
          </w:rPr>
          <w:t>12</w:t>
        </w:r>
        <w:r w:rsidR="00E57A20">
          <w:rPr>
            <w:noProof/>
            <w:webHidden/>
          </w:rPr>
          <w:fldChar w:fldCharType="end"/>
        </w:r>
      </w:hyperlink>
    </w:p>
    <w:p w14:paraId="022EF1EA" w14:textId="5B7DED20"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41" w:history="1">
        <w:r w:rsidR="00E57A20" w:rsidRPr="00006B1B">
          <w:rPr>
            <w:rStyle w:val="Hypertextovodkaz"/>
            <w:rFonts w:eastAsia="Calibri" w:cs="Times New Roman"/>
            <w:noProof/>
          </w:rPr>
          <w:t>Tabulka 5</w:t>
        </w:r>
        <w:r w:rsidR="00E57A20">
          <w:rPr>
            <w:rFonts w:asciiTheme="minorHAnsi" w:eastAsiaTheme="minorEastAsia" w:hAnsiTheme="minorHAnsi"/>
            <w:noProof/>
            <w:sz w:val="24"/>
            <w:szCs w:val="24"/>
            <w:lang w:val="cs-CZ" w:eastAsia="cs-CZ"/>
          </w:rPr>
          <w:tab/>
        </w:r>
        <w:r w:rsidR="00E57A20" w:rsidRPr="00006B1B">
          <w:rPr>
            <w:rStyle w:val="Hypertextovodkaz"/>
            <w:rFonts w:eastAsia="Calibri" w:cs="Times New Roman"/>
            <w:noProof/>
          </w:rPr>
          <w:t>Počet schválených farmářských tržišť*)</w:t>
        </w:r>
        <w:r w:rsidR="00E57A20">
          <w:rPr>
            <w:noProof/>
            <w:webHidden/>
          </w:rPr>
          <w:tab/>
        </w:r>
        <w:r w:rsidR="00E57A20">
          <w:rPr>
            <w:noProof/>
            <w:webHidden/>
          </w:rPr>
          <w:fldChar w:fldCharType="begin"/>
        </w:r>
        <w:r w:rsidR="00E57A20">
          <w:rPr>
            <w:noProof/>
            <w:webHidden/>
          </w:rPr>
          <w:instrText xml:space="preserve"> PAGEREF _Toc81743441 \h </w:instrText>
        </w:r>
        <w:r w:rsidR="00E57A20">
          <w:rPr>
            <w:noProof/>
            <w:webHidden/>
          </w:rPr>
        </w:r>
        <w:r w:rsidR="00E57A20">
          <w:rPr>
            <w:noProof/>
            <w:webHidden/>
          </w:rPr>
          <w:fldChar w:fldCharType="separate"/>
        </w:r>
        <w:r w:rsidR="00E57A20">
          <w:rPr>
            <w:noProof/>
            <w:webHidden/>
          </w:rPr>
          <w:t>13</w:t>
        </w:r>
        <w:r w:rsidR="00E57A20">
          <w:rPr>
            <w:noProof/>
            <w:webHidden/>
          </w:rPr>
          <w:fldChar w:fldCharType="end"/>
        </w:r>
      </w:hyperlink>
    </w:p>
    <w:p w14:paraId="5E0351B6" w14:textId="122EB7A6"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42" w:history="1">
        <w:r w:rsidR="00E57A20" w:rsidRPr="00006B1B">
          <w:rPr>
            <w:rStyle w:val="Hypertextovodkaz"/>
            <w:rFonts w:cs="Times New Roman"/>
            <w:noProof/>
          </w:rPr>
          <w:t>Tabulka 6</w:t>
        </w:r>
        <w:r w:rsidR="00E57A20">
          <w:rPr>
            <w:rFonts w:asciiTheme="minorHAnsi" w:eastAsiaTheme="minorEastAsia" w:hAnsiTheme="minorHAnsi"/>
            <w:noProof/>
            <w:sz w:val="24"/>
            <w:szCs w:val="24"/>
            <w:lang w:val="cs-CZ" w:eastAsia="cs-CZ"/>
          </w:rPr>
          <w:tab/>
        </w:r>
        <w:r w:rsidR="00E57A20" w:rsidRPr="00006B1B">
          <w:rPr>
            <w:rStyle w:val="Hypertextovodkaz"/>
            <w:rFonts w:cs="Times New Roman"/>
            <w:noProof/>
          </w:rPr>
          <w:t>Vývoj koncentrace výroby a zpracování mléka podle Herfindahl-Hirschmanova indexu (HHI)</w:t>
        </w:r>
        <w:r w:rsidR="00E57A20">
          <w:rPr>
            <w:noProof/>
            <w:webHidden/>
          </w:rPr>
          <w:tab/>
        </w:r>
        <w:r w:rsidR="00E57A20">
          <w:rPr>
            <w:noProof/>
            <w:webHidden/>
          </w:rPr>
          <w:fldChar w:fldCharType="begin"/>
        </w:r>
        <w:r w:rsidR="00E57A20">
          <w:rPr>
            <w:noProof/>
            <w:webHidden/>
          </w:rPr>
          <w:instrText xml:space="preserve"> PAGEREF _Toc81743442 \h </w:instrText>
        </w:r>
        <w:r w:rsidR="00E57A20">
          <w:rPr>
            <w:noProof/>
            <w:webHidden/>
          </w:rPr>
        </w:r>
        <w:r w:rsidR="00E57A20">
          <w:rPr>
            <w:noProof/>
            <w:webHidden/>
          </w:rPr>
          <w:fldChar w:fldCharType="separate"/>
        </w:r>
        <w:r w:rsidR="00E57A20">
          <w:rPr>
            <w:noProof/>
            <w:webHidden/>
          </w:rPr>
          <w:t>14</w:t>
        </w:r>
        <w:r w:rsidR="00E57A20">
          <w:rPr>
            <w:noProof/>
            <w:webHidden/>
          </w:rPr>
          <w:fldChar w:fldCharType="end"/>
        </w:r>
      </w:hyperlink>
    </w:p>
    <w:p w14:paraId="40628A54" w14:textId="4A00DB79"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43" w:history="1">
        <w:r w:rsidR="00E57A20" w:rsidRPr="00006B1B">
          <w:rPr>
            <w:rStyle w:val="Hypertextovodkaz"/>
            <w:rFonts w:cs="Times New Roman"/>
            <w:noProof/>
          </w:rPr>
          <w:t>Tabulka 7</w:t>
        </w:r>
        <w:r w:rsidR="00E57A20">
          <w:rPr>
            <w:rFonts w:asciiTheme="minorHAnsi" w:eastAsiaTheme="minorEastAsia" w:hAnsiTheme="minorHAnsi"/>
            <w:noProof/>
            <w:sz w:val="24"/>
            <w:szCs w:val="24"/>
            <w:lang w:val="cs-CZ" w:eastAsia="cs-CZ"/>
          </w:rPr>
          <w:tab/>
        </w:r>
        <w:r w:rsidR="00E57A20" w:rsidRPr="00006B1B">
          <w:rPr>
            <w:rStyle w:val="Hypertextovodkaz"/>
            <w:rFonts w:cs="Times New Roman"/>
            <w:noProof/>
          </w:rPr>
          <w:t>Vývoj počtu pěstitelů tržní zeleniny v ČR</w:t>
        </w:r>
        <w:r w:rsidR="00E57A20">
          <w:rPr>
            <w:noProof/>
            <w:webHidden/>
          </w:rPr>
          <w:tab/>
        </w:r>
        <w:r w:rsidR="00E57A20">
          <w:rPr>
            <w:noProof/>
            <w:webHidden/>
          </w:rPr>
          <w:fldChar w:fldCharType="begin"/>
        </w:r>
        <w:r w:rsidR="00E57A20">
          <w:rPr>
            <w:noProof/>
            <w:webHidden/>
          </w:rPr>
          <w:instrText xml:space="preserve"> PAGEREF _Toc81743443 \h </w:instrText>
        </w:r>
        <w:r w:rsidR="00E57A20">
          <w:rPr>
            <w:noProof/>
            <w:webHidden/>
          </w:rPr>
        </w:r>
        <w:r w:rsidR="00E57A20">
          <w:rPr>
            <w:noProof/>
            <w:webHidden/>
          </w:rPr>
          <w:fldChar w:fldCharType="separate"/>
        </w:r>
        <w:r w:rsidR="00E57A20">
          <w:rPr>
            <w:noProof/>
            <w:webHidden/>
          </w:rPr>
          <w:t>15</w:t>
        </w:r>
        <w:r w:rsidR="00E57A20">
          <w:rPr>
            <w:noProof/>
            <w:webHidden/>
          </w:rPr>
          <w:fldChar w:fldCharType="end"/>
        </w:r>
      </w:hyperlink>
    </w:p>
    <w:p w14:paraId="1F619B33" w14:textId="1C2D7B66"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44" w:history="1">
        <w:r w:rsidR="00E57A20" w:rsidRPr="00006B1B">
          <w:rPr>
            <w:rStyle w:val="Hypertextovodkaz"/>
            <w:noProof/>
          </w:rPr>
          <w:t>Tabulka 8</w:t>
        </w:r>
        <w:r w:rsidR="00E57A20">
          <w:rPr>
            <w:rFonts w:asciiTheme="minorHAnsi" w:eastAsiaTheme="minorEastAsia" w:hAnsiTheme="minorHAnsi"/>
            <w:noProof/>
            <w:sz w:val="24"/>
            <w:szCs w:val="24"/>
            <w:lang w:val="cs-CZ" w:eastAsia="cs-CZ"/>
          </w:rPr>
          <w:tab/>
        </w:r>
        <w:r w:rsidR="00E57A20" w:rsidRPr="00006B1B">
          <w:rPr>
            <w:rStyle w:val="Hypertextovodkaz"/>
            <w:noProof/>
          </w:rPr>
          <w:t>Vývoj produkce uvedené organizacemi producentů a celkové produkce ČR – ovoce a zelenina</w:t>
        </w:r>
        <w:r w:rsidR="00E57A20">
          <w:rPr>
            <w:noProof/>
            <w:webHidden/>
          </w:rPr>
          <w:tab/>
        </w:r>
        <w:r w:rsidR="00E57A20">
          <w:rPr>
            <w:noProof/>
            <w:webHidden/>
          </w:rPr>
          <w:fldChar w:fldCharType="begin"/>
        </w:r>
        <w:r w:rsidR="00E57A20">
          <w:rPr>
            <w:noProof/>
            <w:webHidden/>
          </w:rPr>
          <w:instrText xml:space="preserve"> PAGEREF _Toc81743444 \h </w:instrText>
        </w:r>
        <w:r w:rsidR="00E57A20">
          <w:rPr>
            <w:noProof/>
            <w:webHidden/>
          </w:rPr>
        </w:r>
        <w:r w:rsidR="00E57A20">
          <w:rPr>
            <w:noProof/>
            <w:webHidden/>
          </w:rPr>
          <w:fldChar w:fldCharType="separate"/>
        </w:r>
        <w:r w:rsidR="00E57A20">
          <w:rPr>
            <w:noProof/>
            <w:webHidden/>
          </w:rPr>
          <w:t>16</w:t>
        </w:r>
        <w:r w:rsidR="00E57A20">
          <w:rPr>
            <w:noProof/>
            <w:webHidden/>
          </w:rPr>
          <w:fldChar w:fldCharType="end"/>
        </w:r>
      </w:hyperlink>
    </w:p>
    <w:p w14:paraId="7E8BAF77" w14:textId="5D21B0BE"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45" w:history="1">
        <w:r w:rsidR="00E57A20" w:rsidRPr="00006B1B">
          <w:rPr>
            <w:rStyle w:val="Hypertextovodkaz"/>
            <w:noProof/>
          </w:rPr>
          <w:t>Tabulka 9</w:t>
        </w:r>
        <w:r w:rsidR="00E57A20">
          <w:rPr>
            <w:rFonts w:asciiTheme="minorHAnsi" w:eastAsiaTheme="minorEastAsia" w:hAnsiTheme="minorHAnsi"/>
            <w:noProof/>
            <w:sz w:val="24"/>
            <w:szCs w:val="24"/>
            <w:lang w:val="cs-CZ" w:eastAsia="cs-CZ"/>
          </w:rPr>
          <w:tab/>
        </w:r>
        <w:r w:rsidR="00E57A20" w:rsidRPr="00006B1B">
          <w:rPr>
            <w:rStyle w:val="Hypertextovodkaz"/>
            <w:noProof/>
          </w:rPr>
          <w:t>Vývoj koncentrace chovu skotu a jatek, počet poraženého skotu podle indexu HHI</w:t>
        </w:r>
        <w:r w:rsidR="00E57A20">
          <w:rPr>
            <w:noProof/>
            <w:webHidden/>
          </w:rPr>
          <w:tab/>
        </w:r>
        <w:r w:rsidR="00E57A20">
          <w:rPr>
            <w:noProof/>
            <w:webHidden/>
          </w:rPr>
          <w:fldChar w:fldCharType="begin"/>
        </w:r>
        <w:r w:rsidR="00E57A20">
          <w:rPr>
            <w:noProof/>
            <w:webHidden/>
          </w:rPr>
          <w:instrText xml:space="preserve"> PAGEREF _Toc81743445 \h </w:instrText>
        </w:r>
        <w:r w:rsidR="00E57A20">
          <w:rPr>
            <w:noProof/>
            <w:webHidden/>
          </w:rPr>
        </w:r>
        <w:r w:rsidR="00E57A20">
          <w:rPr>
            <w:noProof/>
            <w:webHidden/>
          </w:rPr>
          <w:fldChar w:fldCharType="separate"/>
        </w:r>
        <w:r w:rsidR="00E57A20">
          <w:rPr>
            <w:noProof/>
            <w:webHidden/>
          </w:rPr>
          <w:t>16</w:t>
        </w:r>
        <w:r w:rsidR="00E57A20">
          <w:rPr>
            <w:noProof/>
            <w:webHidden/>
          </w:rPr>
          <w:fldChar w:fldCharType="end"/>
        </w:r>
      </w:hyperlink>
    </w:p>
    <w:p w14:paraId="4FD7746C" w14:textId="3BF67092"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46" w:history="1">
        <w:r w:rsidR="00E57A20" w:rsidRPr="00006B1B">
          <w:rPr>
            <w:rStyle w:val="Hypertextovodkaz"/>
            <w:noProof/>
          </w:rPr>
          <w:t>Tabulka 10</w:t>
        </w:r>
        <w:r w:rsidR="00E57A20">
          <w:rPr>
            <w:rFonts w:asciiTheme="minorHAnsi" w:eastAsiaTheme="minorEastAsia" w:hAnsiTheme="minorHAnsi"/>
            <w:noProof/>
            <w:sz w:val="24"/>
            <w:szCs w:val="24"/>
            <w:lang w:val="cs-CZ" w:eastAsia="cs-CZ"/>
          </w:rPr>
          <w:tab/>
        </w:r>
        <w:r w:rsidR="00E57A20" w:rsidRPr="00006B1B">
          <w:rPr>
            <w:rStyle w:val="Hypertextovodkaz"/>
            <w:noProof/>
          </w:rPr>
          <w:t>Struktura podniků s chovem skotu celkem v ČR v roce 2019 (údaje k 31.12.)</w:t>
        </w:r>
        <w:r w:rsidR="00E57A20">
          <w:rPr>
            <w:noProof/>
            <w:webHidden/>
          </w:rPr>
          <w:tab/>
        </w:r>
        <w:r w:rsidR="00E57A20">
          <w:rPr>
            <w:noProof/>
            <w:webHidden/>
          </w:rPr>
          <w:fldChar w:fldCharType="begin"/>
        </w:r>
        <w:r w:rsidR="00E57A20">
          <w:rPr>
            <w:noProof/>
            <w:webHidden/>
          </w:rPr>
          <w:instrText xml:space="preserve"> PAGEREF _Toc81743446 \h </w:instrText>
        </w:r>
        <w:r w:rsidR="00E57A20">
          <w:rPr>
            <w:noProof/>
            <w:webHidden/>
          </w:rPr>
        </w:r>
        <w:r w:rsidR="00E57A20">
          <w:rPr>
            <w:noProof/>
            <w:webHidden/>
          </w:rPr>
          <w:fldChar w:fldCharType="separate"/>
        </w:r>
        <w:r w:rsidR="00E57A20">
          <w:rPr>
            <w:noProof/>
            <w:webHidden/>
          </w:rPr>
          <w:t>16</w:t>
        </w:r>
        <w:r w:rsidR="00E57A20">
          <w:rPr>
            <w:noProof/>
            <w:webHidden/>
          </w:rPr>
          <w:fldChar w:fldCharType="end"/>
        </w:r>
      </w:hyperlink>
    </w:p>
    <w:p w14:paraId="179A2762" w14:textId="6AAA239A"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47" w:history="1">
        <w:r w:rsidR="00E57A20" w:rsidRPr="00006B1B">
          <w:rPr>
            <w:rStyle w:val="Hypertextovodkaz"/>
            <w:noProof/>
          </w:rPr>
          <w:t>Tabulka 11</w:t>
        </w:r>
        <w:r w:rsidR="00E57A20">
          <w:rPr>
            <w:rFonts w:asciiTheme="minorHAnsi" w:eastAsiaTheme="minorEastAsia" w:hAnsiTheme="minorHAnsi"/>
            <w:noProof/>
            <w:sz w:val="24"/>
            <w:szCs w:val="24"/>
            <w:lang w:val="cs-CZ" w:eastAsia="cs-CZ"/>
          </w:rPr>
          <w:tab/>
        </w:r>
        <w:r w:rsidR="00E57A20" w:rsidRPr="00006B1B">
          <w:rPr>
            <w:rStyle w:val="Hypertextovodkaz"/>
            <w:noProof/>
          </w:rPr>
          <w:t>Vývoj koncentrace chovu prasat a jatek, počet poražených prasat podle indexu HHI</w:t>
        </w:r>
        <w:r w:rsidR="00E57A20">
          <w:rPr>
            <w:noProof/>
            <w:webHidden/>
          </w:rPr>
          <w:tab/>
        </w:r>
        <w:r w:rsidR="00E57A20">
          <w:rPr>
            <w:noProof/>
            <w:webHidden/>
          </w:rPr>
          <w:fldChar w:fldCharType="begin"/>
        </w:r>
        <w:r w:rsidR="00E57A20">
          <w:rPr>
            <w:noProof/>
            <w:webHidden/>
          </w:rPr>
          <w:instrText xml:space="preserve"> PAGEREF _Toc81743447 \h </w:instrText>
        </w:r>
        <w:r w:rsidR="00E57A20">
          <w:rPr>
            <w:noProof/>
            <w:webHidden/>
          </w:rPr>
        </w:r>
        <w:r w:rsidR="00E57A20">
          <w:rPr>
            <w:noProof/>
            <w:webHidden/>
          </w:rPr>
          <w:fldChar w:fldCharType="separate"/>
        </w:r>
        <w:r w:rsidR="00E57A20">
          <w:rPr>
            <w:noProof/>
            <w:webHidden/>
          </w:rPr>
          <w:t>17</w:t>
        </w:r>
        <w:r w:rsidR="00E57A20">
          <w:rPr>
            <w:noProof/>
            <w:webHidden/>
          </w:rPr>
          <w:fldChar w:fldCharType="end"/>
        </w:r>
      </w:hyperlink>
    </w:p>
    <w:p w14:paraId="0FE58D68" w14:textId="31FEE765"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48" w:history="1">
        <w:r w:rsidR="00E57A20" w:rsidRPr="00006B1B">
          <w:rPr>
            <w:rStyle w:val="Hypertextovodkaz"/>
            <w:noProof/>
          </w:rPr>
          <w:t>Tabulka 12</w:t>
        </w:r>
        <w:r w:rsidR="00E57A20">
          <w:rPr>
            <w:rFonts w:asciiTheme="minorHAnsi" w:eastAsiaTheme="minorEastAsia" w:hAnsiTheme="minorHAnsi"/>
            <w:noProof/>
            <w:sz w:val="24"/>
            <w:szCs w:val="24"/>
            <w:lang w:val="cs-CZ" w:eastAsia="cs-CZ"/>
          </w:rPr>
          <w:tab/>
        </w:r>
        <w:r w:rsidR="00E57A20" w:rsidRPr="00006B1B">
          <w:rPr>
            <w:rStyle w:val="Hypertextovodkaz"/>
            <w:noProof/>
          </w:rPr>
          <w:t>Struktura podniků s chovem prasat celkem v ČR v roce 2019 (údaje k 31.12.)</w:t>
        </w:r>
        <w:r w:rsidR="00E57A20">
          <w:rPr>
            <w:noProof/>
            <w:webHidden/>
          </w:rPr>
          <w:tab/>
        </w:r>
        <w:r w:rsidR="00E57A20">
          <w:rPr>
            <w:noProof/>
            <w:webHidden/>
          </w:rPr>
          <w:fldChar w:fldCharType="begin"/>
        </w:r>
        <w:r w:rsidR="00E57A20">
          <w:rPr>
            <w:noProof/>
            <w:webHidden/>
          </w:rPr>
          <w:instrText xml:space="preserve"> PAGEREF _Toc81743448 \h </w:instrText>
        </w:r>
        <w:r w:rsidR="00E57A20">
          <w:rPr>
            <w:noProof/>
            <w:webHidden/>
          </w:rPr>
        </w:r>
        <w:r w:rsidR="00E57A20">
          <w:rPr>
            <w:noProof/>
            <w:webHidden/>
          </w:rPr>
          <w:fldChar w:fldCharType="separate"/>
        </w:r>
        <w:r w:rsidR="00E57A20">
          <w:rPr>
            <w:noProof/>
            <w:webHidden/>
          </w:rPr>
          <w:t>17</w:t>
        </w:r>
        <w:r w:rsidR="00E57A20">
          <w:rPr>
            <w:noProof/>
            <w:webHidden/>
          </w:rPr>
          <w:fldChar w:fldCharType="end"/>
        </w:r>
      </w:hyperlink>
    </w:p>
    <w:p w14:paraId="746E8819" w14:textId="701E4415"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49" w:history="1">
        <w:r w:rsidR="00E57A20" w:rsidRPr="00006B1B">
          <w:rPr>
            <w:rStyle w:val="Hypertextovodkaz"/>
            <w:noProof/>
          </w:rPr>
          <w:t>Tabulka 13</w:t>
        </w:r>
        <w:r w:rsidR="00E57A20">
          <w:rPr>
            <w:rFonts w:asciiTheme="minorHAnsi" w:eastAsiaTheme="minorEastAsia" w:hAnsiTheme="minorHAnsi"/>
            <w:noProof/>
            <w:sz w:val="24"/>
            <w:szCs w:val="24"/>
            <w:lang w:val="cs-CZ" w:eastAsia="cs-CZ"/>
          </w:rPr>
          <w:tab/>
        </w:r>
        <w:r w:rsidR="00E57A20" w:rsidRPr="00006B1B">
          <w:rPr>
            <w:rStyle w:val="Hypertextovodkaz"/>
            <w:noProof/>
          </w:rPr>
          <w:t>Přehled žádostí o podporu z dotačního titulu 16.4.1.</w:t>
        </w:r>
        <w:r w:rsidR="00E57A20">
          <w:rPr>
            <w:noProof/>
            <w:webHidden/>
          </w:rPr>
          <w:tab/>
        </w:r>
        <w:r w:rsidR="00E57A20">
          <w:rPr>
            <w:noProof/>
            <w:webHidden/>
          </w:rPr>
          <w:fldChar w:fldCharType="begin"/>
        </w:r>
        <w:r w:rsidR="00E57A20">
          <w:rPr>
            <w:noProof/>
            <w:webHidden/>
          </w:rPr>
          <w:instrText xml:space="preserve"> PAGEREF _Toc81743449 \h </w:instrText>
        </w:r>
        <w:r w:rsidR="00E57A20">
          <w:rPr>
            <w:noProof/>
            <w:webHidden/>
          </w:rPr>
        </w:r>
        <w:r w:rsidR="00E57A20">
          <w:rPr>
            <w:noProof/>
            <w:webHidden/>
          </w:rPr>
          <w:fldChar w:fldCharType="separate"/>
        </w:r>
        <w:r w:rsidR="00E57A20">
          <w:rPr>
            <w:noProof/>
            <w:webHidden/>
          </w:rPr>
          <w:t>25</w:t>
        </w:r>
        <w:r w:rsidR="00E57A20">
          <w:rPr>
            <w:noProof/>
            <w:webHidden/>
          </w:rPr>
          <w:fldChar w:fldCharType="end"/>
        </w:r>
      </w:hyperlink>
    </w:p>
    <w:p w14:paraId="4F68258F" w14:textId="4D80BE1E"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50" w:history="1">
        <w:r w:rsidR="00E57A20" w:rsidRPr="00006B1B">
          <w:rPr>
            <w:rStyle w:val="Hypertextovodkaz"/>
            <w:rFonts w:eastAsia="Calibri"/>
            <w:noProof/>
          </w:rPr>
          <w:t>Tabulka 14</w:t>
        </w:r>
        <w:r w:rsidR="00E57A20">
          <w:rPr>
            <w:rFonts w:asciiTheme="minorHAnsi" w:eastAsiaTheme="minorEastAsia" w:hAnsiTheme="minorHAnsi"/>
            <w:noProof/>
            <w:sz w:val="24"/>
            <w:szCs w:val="24"/>
            <w:lang w:val="cs-CZ" w:eastAsia="cs-CZ"/>
          </w:rPr>
          <w:tab/>
        </w:r>
        <w:r w:rsidR="00E57A20" w:rsidRPr="00006B1B">
          <w:rPr>
            <w:rStyle w:val="Hypertextovodkaz"/>
            <w:rFonts w:eastAsia="Calibri"/>
            <w:noProof/>
          </w:rPr>
          <w:t xml:space="preserve">Odhad potenciálního využití odvětvových intervencí vybranými odvětvími dle odhadu ÚZEI </w:t>
        </w:r>
        <w:r w:rsidR="00E57A20" w:rsidRPr="00006B1B">
          <w:rPr>
            <w:rStyle w:val="Hypertextovodkaz"/>
            <w:rFonts w:eastAsia="Calibri"/>
            <w:noProof/>
            <w:vertAlign w:val="superscript"/>
          </w:rPr>
          <w:t>1)</w:t>
        </w:r>
        <w:r w:rsidR="00E57A20">
          <w:rPr>
            <w:noProof/>
            <w:webHidden/>
          </w:rPr>
          <w:tab/>
        </w:r>
        <w:r w:rsidR="00E57A20">
          <w:rPr>
            <w:noProof/>
            <w:webHidden/>
          </w:rPr>
          <w:fldChar w:fldCharType="begin"/>
        </w:r>
        <w:r w:rsidR="00E57A20">
          <w:rPr>
            <w:noProof/>
            <w:webHidden/>
          </w:rPr>
          <w:instrText xml:space="preserve"> PAGEREF _Toc81743450 \h </w:instrText>
        </w:r>
        <w:r w:rsidR="00E57A20">
          <w:rPr>
            <w:noProof/>
            <w:webHidden/>
          </w:rPr>
        </w:r>
        <w:r w:rsidR="00E57A20">
          <w:rPr>
            <w:noProof/>
            <w:webHidden/>
          </w:rPr>
          <w:fldChar w:fldCharType="separate"/>
        </w:r>
        <w:r w:rsidR="00E57A20">
          <w:rPr>
            <w:noProof/>
            <w:webHidden/>
          </w:rPr>
          <w:t>29</w:t>
        </w:r>
        <w:r w:rsidR="00E57A20">
          <w:rPr>
            <w:noProof/>
            <w:webHidden/>
          </w:rPr>
          <w:fldChar w:fldCharType="end"/>
        </w:r>
      </w:hyperlink>
    </w:p>
    <w:p w14:paraId="6975D02A" w14:textId="64BDCB11"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51" w:history="1">
        <w:r w:rsidR="00E57A20" w:rsidRPr="00006B1B">
          <w:rPr>
            <w:rStyle w:val="Hypertextovodkaz"/>
            <w:rFonts w:eastAsia="Calibri"/>
            <w:noProof/>
          </w:rPr>
          <w:t>Tabulka 15</w:t>
        </w:r>
        <w:r w:rsidR="00E57A20">
          <w:rPr>
            <w:rFonts w:asciiTheme="minorHAnsi" w:eastAsiaTheme="minorEastAsia" w:hAnsiTheme="minorHAnsi"/>
            <w:noProof/>
            <w:sz w:val="24"/>
            <w:szCs w:val="24"/>
            <w:lang w:val="cs-CZ" w:eastAsia="cs-CZ"/>
          </w:rPr>
          <w:tab/>
        </w:r>
        <w:r w:rsidR="00E57A20" w:rsidRPr="00006B1B">
          <w:rPr>
            <w:rStyle w:val="Hypertextovodkaz"/>
            <w:noProof/>
          </w:rPr>
          <w:t>Komentář k odhadovanému potenciálu odvětví k využití odvětvových intervencí</w:t>
        </w:r>
        <w:r w:rsidR="00E57A20">
          <w:rPr>
            <w:noProof/>
            <w:webHidden/>
          </w:rPr>
          <w:tab/>
        </w:r>
        <w:r w:rsidR="00E57A20">
          <w:rPr>
            <w:noProof/>
            <w:webHidden/>
          </w:rPr>
          <w:fldChar w:fldCharType="begin"/>
        </w:r>
        <w:r w:rsidR="00E57A20">
          <w:rPr>
            <w:noProof/>
            <w:webHidden/>
          </w:rPr>
          <w:instrText xml:space="preserve"> PAGEREF _Toc81743451 \h </w:instrText>
        </w:r>
        <w:r w:rsidR="00E57A20">
          <w:rPr>
            <w:noProof/>
            <w:webHidden/>
          </w:rPr>
        </w:r>
        <w:r w:rsidR="00E57A20">
          <w:rPr>
            <w:noProof/>
            <w:webHidden/>
          </w:rPr>
          <w:fldChar w:fldCharType="separate"/>
        </w:r>
        <w:r w:rsidR="00E57A20">
          <w:rPr>
            <w:noProof/>
            <w:webHidden/>
          </w:rPr>
          <w:t>30</w:t>
        </w:r>
        <w:r w:rsidR="00E57A20">
          <w:rPr>
            <w:noProof/>
            <w:webHidden/>
          </w:rPr>
          <w:fldChar w:fldCharType="end"/>
        </w:r>
      </w:hyperlink>
    </w:p>
    <w:p w14:paraId="67BFC6B4" w14:textId="58968E74"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52" w:history="1">
        <w:r w:rsidR="00E57A20" w:rsidRPr="00006B1B">
          <w:rPr>
            <w:rStyle w:val="Hypertextovodkaz"/>
            <w:rFonts w:eastAsia="Calibri"/>
            <w:noProof/>
          </w:rPr>
          <w:t>Tabulka 16</w:t>
        </w:r>
        <w:r w:rsidR="00E57A20">
          <w:rPr>
            <w:rFonts w:asciiTheme="minorHAnsi" w:eastAsiaTheme="minorEastAsia" w:hAnsiTheme="minorHAnsi"/>
            <w:noProof/>
            <w:sz w:val="24"/>
            <w:szCs w:val="24"/>
            <w:lang w:val="cs-CZ" w:eastAsia="cs-CZ"/>
          </w:rPr>
          <w:tab/>
        </w:r>
        <w:r w:rsidR="00E57A20" w:rsidRPr="00006B1B">
          <w:rPr>
            <w:rStyle w:val="Hypertextovodkaz"/>
            <w:rFonts w:eastAsia="Calibri"/>
            <w:noProof/>
          </w:rPr>
          <w:t>Uznané organizace producentů k 31. 1. 2019 a jejich podíl na tržbách vybraných odvětví</w:t>
        </w:r>
        <w:r w:rsidR="00E57A20">
          <w:rPr>
            <w:noProof/>
            <w:webHidden/>
          </w:rPr>
          <w:tab/>
        </w:r>
        <w:r w:rsidR="00E57A20">
          <w:rPr>
            <w:noProof/>
            <w:webHidden/>
          </w:rPr>
          <w:fldChar w:fldCharType="begin"/>
        </w:r>
        <w:r w:rsidR="00E57A20">
          <w:rPr>
            <w:noProof/>
            <w:webHidden/>
          </w:rPr>
          <w:instrText xml:space="preserve"> PAGEREF _Toc81743452 \h </w:instrText>
        </w:r>
        <w:r w:rsidR="00E57A20">
          <w:rPr>
            <w:noProof/>
            <w:webHidden/>
          </w:rPr>
        </w:r>
        <w:r w:rsidR="00E57A20">
          <w:rPr>
            <w:noProof/>
            <w:webHidden/>
          </w:rPr>
          <w:fldChar w:fldCharType="separate"/>
        </w:r>
        <w:r w:rsidR="00E57A20">
          <w:rPr>
            <w:noProof/>
            <w:webHidden/>
          </w:rPr>
          <w:t>36</w:t>
        </w:r>
        <w:r w:rsidR="00E57A20">
          <w:rPr>
            <w:noProof/>
            <w:webHidden/>
          </w:rPr>
          <w:fldChar w:fldCharType="end"/>
        </w:r>
      </w:hyperlink>
    </w:p>
    <w:p w14:paraId="4336D35D" w14:textId="4F2B1C50"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53" w:history="1">
        <w:r w:rsidR="00E57A20" w:rsidRPr="00006B1B">
          <w:rPr>
            <w:rStyle w:val="Hypertextovodkaz"/>
            <w:noProof/>
          </w:rPr>
          <w:t>Tabulka 17</w:t>
        </w:r>
        <w:r w:rsidR="00E57A20">
          <w:rPr>
            <w:rFonts w:asciiTheme="minorHAnsi" w:eastAsiaTheme="minorEastAsia" w:hAnsiTheme="minorHAnsi"/>
            <w:noProof/>
            <w:sz w:val="24"/>
            <w:szCs w:val="24"/>
            <w:lang w:val="cs-CZ" w:eastAsia="cs-CZ"/>
          </w:rPr>
          <w:tab/>
        </w:r>
        <w:r w:rsidR="00E57A20" w:rsidRPr="00006B1B">
          <w:rPr>
            <w:rStyle w:val="Hypertextovodkaz"/>
            <w:noProof/>
          </w:rPr>
          <w:t>Stanovení maximálních podílů jednotlivých opatření z provozního fondu</w:t>
        </w:r>
        <w:r w:rsidR="00E57A20">
          <w:rPr>
            <w:noProof/>
            <w:webHidden/>
          </w:rPr>
          <w:tab/>
        </w:r>
        <w:r w:rsidR="00E57A20">
          <w:rPr>
            <w:noProof/>
            <w:webHidden/>
          </w:rPr>
          <w:fldChar w:fldCharType="begin"/>
        </w:r>
        <w:r w:rsidR="00E57A20">
          <w:rPr>
            <w:noProof/>
            <w:webHidden/>
          </w:rPr>
          <w:instrText xml:space="preserve"> PAGEREF _Toc81743453 \h </w:instrText>
        </w:r>
        <w:r w:rsidR="00E57A20">
          <w:rPr>
            <w:noProof/>
            <w:webHidden/>
          </w:rPr>
        </w:r>
        <w:r w:rsidR="00E57A20">
          <w:rPr>
            <w:noProof/>
            <w:webHidden/>
          </w:rPr>
          <w:fldChar w:fldCharType="separate"/>
        </w:r>
        <w:r w:rsidR="00E57A20">
          <w:rPr>
            <w:noProof/>
            <w:webHidden/>
          </w:rPr>
          <w:t>39</w:t>
        </w:r>
        <w:r w:rsidR="00E57A20">
          <w:rPr>
            <w:noProof/>
            <w:webHidden/>
          </w:rPr>
          <w:fldChar w:fldCharType="end"/>
        </w:r>
      </w:hyperlink>
    </w:p>
    <w:p w14:paraId="295766CF" w14:textId="66A582DB"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54" w:history="1">
        <w:r w:rsidR="00E57A20" w:rsidRPr="00006B1B">
          <w:rPr>
            <w:rStyle w:val="Hypertextovodkaz"/>
            <w:noProof/>
          </w:rPr>
          <w:t>Tabulka 18</w:t>
        </w:r>
        <w:r w:rsidR="00E57A20">
          <w:rPr>
            <w:rFonts w:asciiTheme="minorHAnsi" w:eastAsiaTheme="minorEastAsia" w:hAnsiTheme="minorHAnsi"/>
            <w:noProof/>
            <w:sz w:val="24"/>
            <w:szCs w:val="24"/>
            <w:lang w:val="cs-CZ" w:eastAsia="cs-CZ"/>
          </w:rPr>
          <w:tab/>
        </w:r>
        <w:r w:rsidR="00E57A20" w:rsidRPr="00006B1B">
          <w:rPr>
            <w:rStyle w:val="Hypertextovodkaz"/>
            <w:noProof/>
          </w:rPr>
          <w:t>Uplatňované výdaje za všechny organizace producentů v jednotlivých letech (tis. Kč)</w:t>
        </w:r>
        <w:r w:rsidR="00E57A20">
          <w:rPr>
            <w:noProof/>
            <w:webHidden/>
          </w:rPr>
          <w:tab/>
        </w:r>
        <w:r w:rsidR="00E57A20">
          <w:rPr>
            <w:noProof/>
            <w:webHidden/>
          </w:rPr>
          <w:fldChar w:fldCharType="begin"/>
        </w:r>
        <w:r w:rsidR="00E57A20">
          <w:rPr>
            <w:noProof/>
            <w:webHidden/>
          </w:rPr>
          <w:instrText xml:space="preserve"> PAGEREF _Toc81743454 \h </w:instrText>
        </w:r>
        <w:r w:rsidR="00E57A20">
          <w:rPr>
            <w:noProof/>
            <w:webHidden/>
          </w:rPr>
        </w:r>
        <w:r w:rsidR="00E57A20">
          <w:rPr>
            <w:noProof/>
            <w:webHidden/>
          </w:rPr>
          <w:fldChar w:fldCharType="separate"/>
        </w:r>
        <w:r w:rsidR="00E57A20">
          <w:rPr>
            <w:noProof/>
            <w:webHidden/>
          </w:rPr>
          <w:t>40</w:t>
        </w:r>
        <w:r w:rsidR="00E57A20">
          <w:rPr>
            <w:noProof/>
            <w:webHidden/>
          </w:rPr>
          <w:fldChar w:fldCharType="end"/>
        </w:r>
      </w:hyperlink>
    </w:p>
    <w:p w14:paraId="190FECBE" w14:textId="4CA7C69A"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55" w:history="1">
        <w:r w:rsidR="00E57A20" w:rsidRPr="00006B1B">
          <w:rPr>
            <w:rStyle w:val="Hypertextovodkaz"/>
            <w:noProof/>
          </w:rPr>
          <w:t>Tabulka 19</w:t>
        </w:r>
        <w:r w:rsidR="00E57A20">
          <w:rPr>
            <w:rFonts w:asciiTheme="minorHAnsi" w:eastAsiaTheme="minorEastAsia" w:hAnsiTheme="minorHAnsi"/>
            <w:noProof/>
            <w:sz w:val="24"/>
            <w:szCs w:val="24"/>
            <w:lang w:val="cs-CZ" w:eastAsia="cs-CZ"/>
          </w:rPr>
          <w:tab/>
        </w:r>
        <w:r w:rsidR="00E57A20" w:rsidRPr="00006B1B">
          <w:rPr>
            <w:rStyle w:val="Hypertextovodkaz"/>
            <w:noProof/>
          </w:rPr>
          <w:t>Odbyt produkce organizací producentů - ovoce a zelenina (v %)</w:t>
        </w:r>
        <w:r w:rsidR="00E57A20">
          <w:rPr>
            <w:noProof/>
            <w:webHidden/>
          </w:rPr>
          <w:tab/>
        </w:r>
        <w:r w:rsidR="00E57A20">
          <w:rPr>
            <w:noProof/>
            <w:webHidden/>
          </w:rPr>
          <w:fldChar w:fldCharType="begin"/>
        </w:r>
        <w:r w:rsidR="00E57A20">
          <w:rPr>
            <w:noProof/>
            <w:webHidden/>
          </w:rPr>
          <w:instrText xml:space="preserve"> PAGEREF _Toc81743455 \h </w:instrText>
        </w:r>
        <w:r w:rsidR="00E57A20">
          <w:rPr>
            <w:noProof/>
            <w:webHidden/>
          </w:rPr>
        </w:r>
        <w:r w:rsidR="00E57A20">
          <w:rPr>
            <w:noProof/>
            <w:webHidden/>
          </w:rPr>
          <w:fldChar w:fldCharType="separate"/>
        </w:r>
        <w:r w:rsidR="00E57A20">
          <w:rPr>
            <w:noProof/>
            <w:webHidden/>
          </w:rPr>
          <w:t>41</w:t>
        </w:r>
        <w:r w:rsidR="00E57A20">
          <w:rPr>
            <w:noProof/>
            <w:webHidden/>
          </w:rPr>
          <w:fldChar w:fldCharType="end"/>
        </w:r>
      </w:hyperlink>
    </w:p>
    <w:p w14:paraId="12F9EAD3" w14:textId="672B8FD7"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56" w:history="1">
        <w:r w:rsidR="00E57A20" w:rsidRPr="00006B1B">
          <w:rPr>
            <w:rStyle w:val="Hypertextovodkaz"/>
            <w:rFonts w:eastAsia="Calibri"/>
            <w:noProof/>
          </w:rPr>
          <w:t>Tabulka 20</w:t>
        </w:r>
        <w:r w:rsidR="00E57A20">
          <w:rPr>
            <w:rFonts w:asciiTheme="minorHAnsi" w:eastAsiaTheme="minorEastAsia" w:hAnsiTheme="minorHAnsi"/>
            <w:noProof/>
            <w:sz w:val="24"/>
            <w:szCs w:val="24"/>
            <w:lang w:val="cs-CZ" w:eastAsia="cs-CZ"/>
          </w:rPr>
          <w:tab/>
        </w:r>
        <w:r w:rsidR="00E57A20" w:rsidRPr="00006B1B">
          <w:rPr>
            <w:rStyle w:val="Hypertextovodkaz"/>
            <w:rFonts w:eastAsia="Calibri"/>
            <w:noProof/>
          </w:rPr>
          <w:t>Čerpání zdrojů na marketing (v tis. Kč)</w:t>
        </w:r>
        <w:r w:rsidR="00E57A20">
          <w:rPr>
            <w:noProof/>
            <w:webHidden/>
          </w:rPr>
          <w:tab/>
        </w:r>
        <w:r w:rsidR="00E57A20">
          <w:rPr>
            <w:noProof/>
            <w:webHidden/>
          </w:rPr>
          <w:fldChar w:fldCharType="begin"/>
        </w:r>
        <w:r w:rsidR="00E57A20">
          <w:rPr>
            <w:noProof/>
            <w:webHidden/>
          </w:rPr>
          <w:instrText xml:space="preserve"> PAGEREF _Toc81743456 \h </w:instrText>
        </w:r>
        <w:r w:rsidR="00E57A20">
          <w:rPr>
            <w:noProof/>
            <w:webHidden/>
          </w:rPr>
        </w:r>
        <w:r w:rsidR="00E57A20">
          <w:rPr>
            <w:noProof/>
            <w:webHidden/>
          </w:rPr>
          <w:fldChar w:fldCharType="separate"/>
        </w:r>
        <w:r w:rsidR="00E57A20">
          <w:rPr>
            <w:noProof/>
            <w:webHidden/>
          </w:rPr>
          <w:t>44</w:t>
        </w:r>
        <w:r w:rsidR="00E57A20">
          <w:rPr>
            <w:noProof/>
            <w:webHidden/>
          </w:rPr>
          <w:fldChar w:fldCharType="end"/>
        </w:r>
      </w:hyperlink>
    </w:p>
    <w:p w14:paraId="18B2642A" w14:textId="04913D1F"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57" w:history="1">
        <w:r w:rsidR="00E57A20" w:rsidRPr="00006B1B">
          <w:rPr>
            <w:rStyle w:val="Hypertextovodkaz"/>
            <w:rFonts w:eastAsia="Calibri"/>
            <w:noProof/>
          </w:rPr>
          <w:t>Tabulka 21</w:t>
        </w:r>
        <w:r w:rsidR="00E57A20">
          <w:rPr>
            <w:rFonts w:asciiTheme="minorHAnsi" w:eastAsiaTheme="minorEastAsia" w:hAnsiTheme="minorHAnsi"/>
            <w:noProof/>
            <w:sz w:val="24"/>
            <w:szCs w:val="24"/>
            <w:lang w:val="cs-CZ" w:eastAsia="cs-CZ"/>
          </w:rPr>
          <w:tab/>
        </w:r>
        <w:r w:rsidR="00E57A20" w:rsidRPr="00006B1B">
          <w:rPr>
            <w:rStyle w:val="Hypertextovodkaz"/>
            <w:rFonts w:eastAsia="Calibri"/>
            <w:noProof/>
          </w:rPr>
          <w:t>Podpora režimu jakosti Q CZ</w:t>
        </w:r>
        <w:r w:rsidR="00E57A20">
          <w:rPr>
            <w:noProof/>
            <w:webHidden/>
          </w:rPr>
          <w:tab/>
        </w:r>
        <w:r w:rsidR="00E57A20">
          <w:rPr>
            <w:noProof/>
            <w:webHidden/>
          </w:rPr>
          <w:fldChar w:fldCharType="begin"/>
        </w:r>
        <w:r w:rsidR="00E57A20">
          <w:rPr>
            <w:noProof/>
            <w:webHidden/>
          </w:rPr>
          <w:instrText xml:space="preserve"> PAGEREF _Toc81743457 \h </w:instrText>
        </w:r>
        <w:r w:rsidR="00E57A20">
          <w:rPr>
            <w:noProof/>
            <w:webHidden/>
          </w:rPr>
        </w:r>
        <w:r w:rsidR="00E57A20">
          <w:rPr>
            <w:noProof/>
            <w:webHidden/>
          </w:rPr>
          <w:fldChar w:fldCharType="separate"/>
        </w:r>
        <w:r w:rsidR="00E57A20">
          <w:rPr>
            <w:noProof/>
            <w:webHidden/>
          </w:rPr>
          <w:t>46</w:t>
        </w:r>
        <w:r w:rsidR="00E57A20">
          <w:rPr>
            <w:noProof/>
            <w:webHidden/>
          </w:rPr>
          <w:fldChar w:fldCharType="end"/>
        </w:r>
      </w:hyperlink>
    </w:p>
    <w:p w14:paraId="0EB96BFD" w14:textId="4921CA1E"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58" w:history="1">
        <w:r w:rsidR="00E57A20" w:rsidRPr="00006B1B">
          <w:rPr>
            <w:rStyle w:val="Hypertextovodkaz"/>
            <w:noProof/>
          </w:rPr>
          <w:t>Tabulka 22</w:t>
        </w:r>
        <w:r w:rsidR="00E57A20">
          <w:rPr>
            <w:rFonts w:asciiTheme="minorHAnsi" w:eastAsiaTheme="minorEastAsia" w:hAnsiTheme="minorHAnsi"/>
            <w:noProof/>
            <w:sz w:val="24"/>
            <w:szCs w:val="24"/>
            <w:lang w:val="cs-CZ" w:eastAsia="cs-CZ"/>
          </w:rPr>
          <w:tab/>
        </w:r>
        <w:r w:rsidR="00E57A20" w:rsidRPr="00006B1B">
          <w:rPr>
            <w:rStyle w:val="Hypertextovodkaz"/>
            <w:noProof/>
          </w:rPr>
          <w:t>Vývoj počtu a ploch pěstitelů zeleniny v rámci systému IPZ</w:t>
        </w:r>
        <w:r w:rsidR="00E57A20">
          <w:rPr>
            <w:noProof/>
            <w:webHidden/>
          </w:rPr>
          <w:tab/>
        </w:r>
        <w:r w:rsidR="00E57A20">
          <w:rPr>
            <w:noProof/>
            <w:webHidden/>
          </w:rPr>
          <w:fldChar w:fldCharType="begin"/>
        </w:r>
        <w:r w:rsidR="00E57A20">
          <w:rPr>
            <w:noProof/>
            <w:webHidden/>
          </w:rPr>
          <w:instrText xml:space="preserve"> PAGEREF _Toc81743458 \h </w:instrText>
        </w:r>
        <w:r w:rsidR="00E57A20">
          <w:rPr>
            <w:noProof/>
            <w:webHidden/>
          </w:rPr>
        </w:r>
        <w:r w:rsidR="00E57A20">
          <w:rPr>
            <w:noProof/>
            <w:webHidden/>
          </w:rPr>
          <w:fldChar w:fldCharType="separate"/>
        </w:r>
        <w:r w:rsidR="00E57A20">
          <w:rPr>
            <w:noProof/>
            <w:webHidden/>
          </w:rPr>
          <w:t>47</w:t>
        </w:r>
        <w:r w:rsidR="00E57A20">
          <w:rPr>
            <w:noProof/>
            <w:webHidden/>
          </w:rPr>
          <w:fldChar w:fldCharType="end"/>
        </w:r>
      </w:hyperlink>
    </w:p>
    <w:p w14:paraId="7A707C62" w14:textId="4616B252" w:rsidR="00E57A20" w:rsidRDefault="00BB1301" w:rsidP="00E57A20">
      <w:pPr>
        <w:pStyle w:val="Obsah4"/>
        <w:tabs>
          <w:tab w:val="left" w:pos="1920"/>
          <w:tab w:val="right" w:leader="dot" w:pos="9062"/>
        </w:tabs>
        <w:ind w:left="1134" w:hanging="1134"/>
        <w:rPr>
          <w:rFonts w:asciiTheme="minorHAnsi" w:eastAsiaTheme="minorEastAsia" w:hAnsiTheme="minorHAnsi"/>
          <w:noProof/>
          <w:sz w:val="24"/>
          <w:szCs w:val="24"/>
          <w:lang w:val="cs-CZ" w:eastAsia="cs-CZ"/>
        </w:rPr>
      </w:pPr>
      <w:hyperlink w:anchor="_Toc81743459" w:history="1">
        <w:r w:rsidR="00E57A20" w:rsidRPr="00006B1B">
          <w:rPr>
            <w:rStyle w:val="Hypertextovodkaz"/>
            <w:rFonts w:eastAsia="Calibri"/>
            <w:noProof/>
          </w:rPr>
          <w:t>Tabulka 23</w:t>
        </w:r>
        <w:r w:rsidR="00E57A20">
          <w:rPr>
            <w:rFonts w:asciiTheme="minorHAnsi" w:eastAsiaTheme="minorEastAsia" w:hAnsiTheme="minorHAnsi"/>
            <w:noProof/>
            <w:sz w:val="24"/>
            <w:szCs w:val="24"/>
            <w:lang w:val="cs-CZ" w:eastAsia="cs-CZ"/>
          </w:rPr>
          <w:tab/>
        </w:r>
        <w:r w:rsidR="00E57A20" w:rsidRPr="00006B1B">
          <w:rPr>
            <w:rStyle w:val="Hypertextovodkaz"/>
            <w:rFonts w:eastAsia="Calibri"/>
            <w:noProof/>
          </w:rPr>
          <w:t>Přehled pěstitelů SISPO</w:t>
        </w:r>
        <w:r w:rsidR="00E57A20">
          <w:rPr>
            <w:noProof/>
            <w:webHidden/>
          </w:rPr>
          <w:tab/>
        </w:r>
        <w:r w:rsidR="00E57A20">
          <w:rPr>
            <w:noProof/>
            <w:webHidden/>
          </w:rPr>
          <w:fldChar w:fldCharType="begin"/>
        </w:r>
        <w:r w:rsidR="00E57A20">
          <w:rPr>
            <w:noProof/>
            <w:webHidden/>
          </w:rPr>
          <w:instrText xml:space="preserve"> PAGEREF _Toc81743459 \h </w:instrText>
        </w:r>
        <w:r w:rsidR="00E57A20">
          <w:rPr>
            <w:noProof/>
            <w:webHidden/>
          </w:rPr>
        </w:r>
        <w:r w:rsidR="00E57A20">
          <w:rPr>
            <w:noProof/>
            <w:webHidden/>
          </w:rPr>
          <w:fldChar w:fldCharType="separate"/>
        </w:r>
        <w:r w:rsidR="00E57A20">
          <w:rPr>
            <w:noProof/>
            <w:webHidden/>
          </w:rPr>
          <w:t>48</w:t>
        </w:r>
        <w:r w:rsidR="00E57A20">
          <w:rPr>
            <w:noProof/>
            <w:webHidden/>
          </w:rPr>
          <w:fldChar w:fldCharType="end"/>
        </w:r>
      </w:hyperlink>
    </w:p>
    <w:p w14:paraId="4F3E8328" w14:textId="4860B3A3" w:rsidR="00E032F8" w:rsidRPr="00B25A22" w:rsidRDefault="00E57A20" w:rsidP="00E57A20">
      <w:pPr>
        <w:pStyle w:val="UZEINadpis1stbezsla"/>
      </w:pPr>
      <w:r>
        <w:fldChar w:fldCharType="end"/>
      </w:r>
    </w:p>
    <w:p w14:paraId="58370809" w14:textId="38DBB3A9" w:rsidR="00E032F8" w:rsidRDefault="00E032F8" w:rsidP="00E57A20">
      <w:pPr>
        <w:pStyle w:val="UZEINadpis1stbezsla"/>
      </w:pPr>
      <w:bookmarkStart w:id="9" w:name="_Toc80969599"/>
      <w:bookmarkStart w:id="10" w:name="_Toc81743380"/>
      <w:bookmarkStart w:id="11" w:name="_Toc81743828"/>
      <w:r w:rsidRPr="00B25A22">
        <w:t>Seznam grafů</w:t>
      </w:r>
      <w:bookmarkEnd w:id="9"/>
      <w:bookmarkEnd w:id="10"/>
      <w:bookmarkEnd w:id="11"/>
    </w:p>
    <w:p w14:paraId="2A58D652" w14:textId="14929854" w:rsidR="00E57A20" w:rsidRDefault="00E57A20" w:rsidP="00E57A20">
      <w:pPr>
        <w:pStyle w:val="Obsah4"/>
        <w:tabs>
          <w:tab w:val="left" w:pos="1680"/>
          <w:tab w:val="right" w:leader="dot" w:pos="9062"/>
        </w:tabs>
        <w:ind w:left="993" w:hanging="993"/>
        <w:rPr>
          <w:rFonts w:asciiTheme="minorHAnsi" w:eastAsiaTheme="minorEastAsia" w:hAnsiTheme="minorHAnsi"/>
          <w:noProof/>
          <w:sz w:val="24"/>
          <w:szCs w:val="24"/>
          <w:lang w:val="cs-CZ" w:eastAsia="cs-CZ"/>
        </w:rPr>
      </w:pPr>
      <w:r>
        <w:rPr>
          <w:rFonts w:asciiTheme="majorHAnsi" w:hAnsiTheme="majorHAnsi"/>
          <w:color w:val="2F5496" w:themeColor="accent1" w:themeShade="BF"/>
        </w:rPr>
        <w:fldChar w:fldCharType="begin"/>
      </w:r>
      <w:r>
        <w:rPr>
          <w:rFonts w:asciiTheme="majorHAnsi" w:hAnsiTheme="majorHAnsi"/>
          <w:color w:val="2F5496" w:themeColor="accent1" w:themeShade="BF"/>
        </w:rPr>
        <w:instrText xml:space="preserve"> TOC \h \z \t "UZEI Graf;4" </w:instrText>
      </w:r>
      <w:r>
        <w:rPr>
          <w:rFonts w:asciiTheme="majorHAnsi" w:hAnsiTheme="majorHAnsi"/>
          <w:color w:val="2F5496" w:themeColor="accent1" w:themeShade="BF"/>
        </w:rPr>
        <w:fldChar w:fldCharType="separate"/>
      </w:r>
      <w:hyperlink w:anchor="_Toc81743515" w:history="1">
        <w:r w:rsidRPr="0009568C">
          <w:rPr>
            <w:rStyle w:val="Hypertextovodkaz"/>
            <w:rFonts w:eastAsia="Calibri" w:cs="Times New Roman"/>
            <w:noProof/>
          </w:rPr>
          <w:t>Graf 1</w:t>
        </w:r>
        <w:r>
          <w:rPr>
            <w:rFonts w:asciiTheme="minorHAnsi" w:eastAsiaTheme="minorEastAsia" w:hAnsiTheme="minorHAnsi"/>
            <w:noProof/>
            <w:sz w:val="24"/>
            <w:szCs w:val="24"/>
            <w:lang w:val="cs-CZ" w:eastAsia="cs-CZ"/>
          </w:rPr>
          <w:tab/>
        </w:r>
        <w:r w:rsidRPr="0009568C">
          <w:rPr>
            <w:rStyle w:val="Hypertextovodkaz"/>
            <w:rFonts w:eastAsia="Calibri" w:cs="Times New Roman"/>
            <w:noProof/>
          </w:rPr>
          <w:t>Odpověď spotřebitelů na otázku“ Jak často nakupujete potraviny na následujících místech?”</w:t>
        </w:r>
        <w:r>
          <w:rPr>
            <w:noProof/>
            <w:webHidden/>
          </w:rPr>
          <w:tab/>
        </w:r>
        <w:r>
          <w:rPr>
            <w:noProof/>
            <w:webHidden/>
          </w:rPr>
          <w:fldChar w:fldCharType="begin"/>
        </w:r>
        <w:r>
          <w:rPr>
            <w:noProof/>
            <w:webHidden/>
          </w:rPr>
          <w:instrText xml:space="preserve"> PAGEREF _Toc81743515 \h </w:instrText>
        </w:r>
        <w:r>
          <w:rPr>
            <w:noProof/>
            <w:webHidden/>
          </w:rPr>
        </w:r>
        <w:r>
          <w:rPr>
            <w:noProof/>
            <w:webHidden/>
          </w:rPr>
          <w:fldChar w:fldCharType="separate"/>
        </w:r>
        <w:r>
          <w:rPr>
            <w:noProof/>
            <w:webHidden/>
          </w:rPr>
          <w:t>10</w:t>
        </w:r>
        <w:r>
          <w:rPr>
            <w:noProof/>
            <w:webHidden/>
          </w:rPr>
          <w:fldChar w:fldCharType="end"/>
        </w:r>
      </w:hyperlink>
    </w:p>
    <w:p w14:paraId="2D22D232" w14:textId="448630B1" w:rsidR="00E57A20" w:rsidRDefault="00BB1301" w:rsidP="00E57A20">
      <w:pPr>
        <w:pStyle w:val="Obsah4"/>
        <w:tabs>
          <w:tab w:val="left" w:pos="1680"/>
          <w:tab w:val="right" w:leader="dot" w:pos="9062"/>
        </w:tabs>
        <w:ind w:left="993" w:hanging="993"/>
        <w:rPr>
          <w:rFonts w:asciiTheme="minorHAnsi" w:eastAsiaTheme="minorEastAsia" w:hAnsiTheme="minorHAnsi"/>
          <w:noProof/>
          <w:sz w:val="24"/>
          <w:szCs w:val="24"/>
          <w:lang w:val="cs-CZ" w:eastAsia="cs-CZ"/>
        </w:rPr>
      </w:pPr>
      <w:hyperlink w:anchor="_Toc81743516" w:history="1">
        <w:r w:rsidR="00E57A20" w:rsidRPr="0009568C">
          <w:rPr>
            <w:rStyle w:val="Hypertextovodkaz"/>
            <w:rFonts w:eastAsia="Calibri" w:cs="Times New Roman"/>
            <w:noProof/>
          </w:rPr>
          <w:t>Graf 2</w:t>
        </w:r>
        <w:r w:rsidR="00E57A20">
          <w:rPr>
            <w:rFonts w:asciiTheme="minorHAnsi" w:eastAsiaTheme="minorEastAsia" w:hAnsiTheme="minorHAnsi"/>
            <w:noProof/>
            <w:sz w:val="24"/>
            <w:szCs w:val="24"/>
            <w:lang w:val="cs-CZ" w:eastAsia="cs-CZ"/>
          </w:rPr>
          <w:tab/>
        </w:r>
        <w:r w:rsidR="00E57A20" w:rsidRPr="0009568C">
          <w:rPr>
            <w:rStyle w:val="Hypertextovodkaz"/>
            <w:rFonts w:eastAsia="Calibri" w:cs="Times New Roman"/>
            <w:noProof/>
          </w:rPr>
          <w:t>Odpověď na otázku“</w:t>
        </w:r>
        <w:r w:rsidR="00E57A20" w:rsidRPr="0009568C">
          <w:rPr>
            <w:rStyle w:val="Hypertextovodkaz"/>
            <w:rFonts w:cs="Times New Roman"/>
            <w:noProof/>
          </w:rPr>
          <w:t xml:space="preserve"> </w:t>
        </w:r>
        <w:r w:rsidR="00E57A20" w:rsidRPr="0009568C">
          <w:rPr>
            <w:rStyle w:val="Hypertextovodkaz"/>
            <w:rFonts w:eastAsia="Calibri" w:cs="Times New Roman"/>
            <w:noProof/>
          </w:rPr>
          <w:t>Zvýšila byste objem nákupů v uvedené formě prodeje za uvedených podmínek?”</w:t>
        </w:r>
        <w:r w:rsidR="00E57A20">
          <w:rPr>
            <w:noProof/>
            <w:webHidden/>
          </w:rPr>
          <w:tab/>
        </w:r>
        <w:r w:rsidR="00E57A20">
          <w:rPr>
            <w:noProof/>
            <w:webHidden/>
          </w:rPr>
          <w:fldChar w:fldCharType="begin"/>
        </w:r>
        <w:r w:rsidR="00E57A20">
          <w:rPr>
            <w:noProof/>
            <w:webHidden/>
          </w:rPr>
          <w:instrText xml:space="preserve"> PAGEREF _Toc81743516 \h </w:instrText>
        </w:r>
        <w:r w:rsidR="00E57A20">
          <w:rPr>
            <w:noProof/>
            <w:webHidden/>
          </w:rPr>
        </w:r>
        <w:r w:rsidR="00E57A20">
          <w:rPr>
            <w:noProof/>
            <w:webHidden/>
          </w:rPr>
          <w:fldChar w:fldCharType="separate"/>
        </w:r>
        <w:r w:rsidR="00E57A20">
          <w:rPr>
            <w:noProof/>
            <w:webHidden/>
          </w:rPr>
          <w:t>10</w:t>
        </w:r>
        <w:r w:rsidR="00E57A20">
          <w:rPr>
            <w:noProof/>
            <w:webHidden/>
          </w:rPr>
          <w:fldChar w:fldCharType="end"/>
        </w:r>
      </w:hyperlink>
    </w:p>
    <w:p w14:paraId="2BE689CE" w14:textId="7ADE4AD6" w:rsidR="00E57A20" w:rsidRDefault="00BB1301" w:rsidP="00E57A20">
      <w:pPr>
        <w:pStyle w:val="Obsah4"/>
        <w:tabs>
          <w:tab w:val="left" w:pos="1680"/>
          <w:tab w:val="right" w:leader="dot" w:pos="9062"/>
        </w:tabs>
        <w:ind w:left="993" w:hanging="993"/>
        <w:rPr>
          <w:rFonts w:asciiTheme="minorHAnsi" w:eastAsiaTheme="minorEastAsia" w:hAnsiTheme="minorHAnsi"/>
          <w:noProof/>
          <w:sz w:val="24"/>
          <w:szCs w:val="24"/>
          <w:lang w:val="cs-CZ" w:eastAsia="cs-CZ"/>
        </w:rPr>
      </w:pPr>
      <w:hyperlink w:anchor="_Toc81743517" w:history="1">
        <w:r w:rsidR="00E57A20" w:rsidRPr="0009568C">
          <w:rPr>
            <w:rStyle w:val="Hypertextovodkaz"/>
            <w:rFonts w:eastAsia="Calibri"/>
            <w:noProof/>
          </w:rPr>
          <w:t>Graf 3</w:t>
        </w:r>
        <w:r w:rsidR="00E57A20">
          <w:rPr>
            <w:rFonts w:asciiTheme="minorHAnsi" w:eastAsiaTheme="minorEastAsia" w:hAnsiTheme="minorHAnsi"/>
            <w:noProof/>
            <w:sz w:val="24"/>
            <w:szCs w:val="24"/>
            <w:lang w:val="cs-CZ" w:eastAsia="cs-CZ"/>
          </w:rPr>
          <w:tab/>
        </w:r>
        <w:r w:rsidR="00E57A20" w:rsidRPr="0009568C">
          <w:rPr>
            <w:rStyle w:val="Hypertextovodkaz"/>
            <w:rFonts w:eastAsia="Calibri"/>
            <w:noProof/>
          </w:rPr>
          <w:t>Deklarovaná ochota spotřebitelů připlatit si za potraviny s vybranými charakteristikami</w:t>
        </w:r>
        <w:r w:rsidR="00E57A20">
          <w:rPr>
            <w:noProof/>
            <w:webHidden/>
          </w:rPr>
          <w:tab/>
        </w:r>
        <w:r w:rsidR="00E57A20">
          <w:rPr>
            <w:noProof/>
            <w:webHidden/>
          </w:rPr>
          <w:fldChar w:fldCharType="begin"/>
        </w:r>
        <w:r w:rsidR="00E57A20">
          <w:rPr>
            <w:noProof/>
            <w:webHidden/>
          </w:rPr>
          <w:instrText xml:space="preserve"> PAGEREF _Toc81743517 \h </w:instrText>
        </w:r>
        <w:r w:rsidR="00E57A20">
          <w:rPr>
            <w:noProof/>
            <w:webHidden/>
          </w:rPr>
        </w:r>
        <w:r w:rsidR="00E57A20">
          <w:rPr>
            <w:noProof/>
            <w:webHidden/>
          </w:rPr>
          <w:fldChar w:fldCharType="separate"/>
        </w:r>
        <w:r w:rsidR="00E57A20">
          <w:rPr>
            <w:noProof/>
            <w:webHidden/>
          </w:rPr>
          <w:t>19</w:t>
        </w:r>
        <w:r w:rsidR="00E57A20">
          <w:rPr>
            <w:noProof/>
            <w:webHidden/>
          </w:rPr>
          <w:fldChar w:fldCharType="end"/>
        </w:r>
      </w:hyperlink>
    </w:p>
    <w:p w14:paraId="46415BCF" w14:textId="1F37E0EB" w:rsidR="00E57A20" w:rsidRDefault="00BB1301" w:rsidP="00E57A20">
      <w:pPr>
        <w:pStyle w:val="Obsah4"/>
        <w:tabs>
          <w:tab w:val="left" w:pos="1680"/>
          <w:tab w:val="right" w:leader="dot" w:pos="9062"/>
        </w:tabs>
        <w:ind w:left="993" w:hanging="993"/>
        <w:rPr>
          <w:rFonts w:asciiTheme="minorHAnsi" w:eastAsiaTheme="minorEastAsia" w:hAnsiTheme="minorHAnsi"/>
          <w:noProof/>
          <w:sz w:val="24"/>
          <w:szCs w:val="24"/>
          <w:lang w:val="cs-CZ" w:eastAsia="cs-CZ"/>
        </w:rPr>
      </w:pPr>
      <w:hyperlink w:anchor="_Toc81743518" w:history="1">
        <w:r w:rsidR="00E57A20" w:rsidRPr="0009568C">
          <w:rPr>
            <w:rStyle w:val="Hypertextovodkaz"/>
            <w:noProof/>
          </w:rPr>
          <w:t>Graf 4</w:t>
        </w:r>
        <w:r w:rsidR="00E57A20">
          <w:rPr>
            <w:rFonts w:asciiTheme="minorHAnsi" w:eastAsiaTheme="minorEastAsia" w:hAnsiTheme="minorHAnsi"/>
            <w:noProof/>
            <w:sz w:val="24"/>
            <w:szCs w:val="24"/>
            <w:lang w:val="cs-CZ" w:eastAsia="cs-CZ"/>
          </w:rPr>
          <w:tab/>
        </w:r>
        <w:r w:rsidR="00E57A20" w:rsidRPr="0009568C">
          <w:rPr>
            <w:rStyle w:val="Hypertextovodkaz"/>
            <w:noProof/>
          </w:rPr>
          <w:t>Znalost spotřebitelů vybraných piktogramů režimu kvality</w:t>
        </w:r>
        <w:r w:rsidR="00E57A20">
          <w:rPr>
            <w:noProof/>
            <w:webHidden/>
          </w:rPr>
          <w:tab/>
        </w:r>
        <w:r w:rsidR="00E57A20">
          <w:rPr>
            <w:noProof/>
            <w:webHidden/>
          </w:rPr>
          <w:fldChar w:fldCharType="begin"/>
        </w:r>
        <w:r w:rsidR="00E57A20">
          <w:rPr>
            <w:noProof/>
            <w:webHidden/>
          </w:rPr>
          <w:instrText xml:space="preserve"> PAGEREF _Toc81743518 \h </w:instrText>
        </w:r>
        <w:r w:rsidR="00E57A20">
          <w:rPr>
            <w:noProof/>
            <w:webHidden/>
          </w:rPr>
        </w:r>
        <w:r w:rsidR="00E57A20">
          <w:rPr>
            <w:noProof/>
            <w:webHidden/>
          </w:rPr>
          <w:fldChar w:fldCharType="separate"/>
        </w:r>
        <w:r w:rsidR="00E57A20">
          <w:rPr>
            <w:noProof/>
            <w:webHidden/>
          </w:rPr>
          <w:t>20</w:t>
        </w:r>
        <w:r w:rsidR="00E57A20">
          <w:rPr>
            <w:noProof/>
            <w:webHidden/>
          </w:rPr>
          <w:fldChar w:fldCharType="end"/>
        </w:r>
      </w:hyperlink>
    </w:p>
    <w:p w14:paraId="790B1DA1" w14:textId="546BE1F9" w:rsidR="00D94CCD" w:rsidRDefault="00E57A20" w:rsidP="00E57A20">
      <w:pPr>
        <w:pStyle w:val="UZEINadpis1stbezsla"/>
        <w:rPr>
          <w:rFonts w:asciiTheme="majorHAnsi" w:hAnsiTheme="majorHAnsi"/>
          <w:color w:val="2F5496" w:themeColor="accent1" w:themeShade="BF"/>
        </w:rPr>
      </w:pPr>
      <w:r>
        <w:rPr>
          <w:rFonts w:asciiTheme="majorHAnsi" w:hAnsiTheme="majorHAnsi"/>
          <w:color w:val="2F5496" w:themeColor="accent1" w:themeShade="BF"/>
        </w:rPr>
        <w:fldChar w:fldCharType="end"/>
      </w:r>
    </w:p>
    <w:p w14:paraId="782EEFAD" w14:textId="77777777" w:rsidR="00D94CCD" w:rsidRDefault="00D94CCD" w:rsidP="00E57A20">
      <w:pPr>
        <w:pStyle w:val="UZEINadpis1stbezsla"/>
      </w:pPr>
    </w:p>
    <w:p w14:paraId="7EDD527B" w14:textId="77777777" w:rsidR="00E57A20" w:rsidRDefault="00E57A20">
      <w:pPr>
        <w:spacing w:after="160" w:line="259" w:lineRule="auto"/>
        <w:jc w:val="left"/>
        <w:rPr>
          <w:rFonts w:eastAsiaTheme="majorEastAsia" w:cstheme="majorBidi"/>
          <w:b/>
          <w:color w:val="000000" w:themeColor="text1"/>
          <w:sz w:val="28"/>
          <w:szCs w:val="32"/>
          <w:lang w:val="cs-CZ" w:eastAsia="cs-CZ"/>
        </w:rPr>
      </w:pPr>
      <w:bookmarkStart w:id="12" w:name="_Toc81743381"/>
      <w:r>
        <w:br w:type="page"/>
      </w:r>
    </w:p>
    <w:p w14:paraId="3CDEE25A" w14:textId="3DBC60E0" w:rsidR="00DC36F3" w:rsidRPr="00FC38C5" w:rsidRDefault="00D94CCD" w:rsidP="00FC38C5">
      <w:pPr>
        <w:pStyle w:val="UZEINormaln"/>
        <w:rPr>
          <w:b/>
          <w:bCs/>
          <w:sz w:val="28"/>
          <w:szCs w:val="28"/>
        </w:rPr>
      </w:pPr>
      <w:r w:rsidRPr="00FC38C5">
        <w:rPr>
          <w:b/>
          <w:bCs/>
          <w:sz w:val="28"/>
          <w:szCs w:val="28"/>
        </w:rPr>
        <w:lastRenderedPageBreak/>
        <w:t>Obsah</w:t>
      </w:r>
      <w:bookmarkEnd w:id="12"/>
    </w:p>
    <w:p w14:paraId="25E4761C" w14:textId="2999CF51" w:rsidR="00DB56B7" w:rsidRDefault="00E57A20">
      <w:pPr>
        <w:pStyle w:val="Obsah1"/>
        <w:tabs>
          <w:tab w:val="right" w:leader="dot" w:pos="9062"/>
        </w:tabs>
        <w:rPr>
          <w:rFonts w:asciiTheme="minorHAnsi" w:eastAsiaTheme="minorEastAsia" w:hAnsiTheme="minorHAnsi"/>
          <w:b w:val="0"/>
          <w:bCs w:val="0"/>
          <w:caps w:val="0"/>
          <w:noProof/>
          <w:sz w:val="24"/>
          <w:szCs w:val="24"/>
          <w:lang w:val="cs-CZ" w:eastAsia="cs-CZ"/>
        </w:rPr>
      </w:pPr>
      <w:r>
        <w:rPr>
          <w:rFonts w:asciiTheme="minorHAnsi" w:hAnsiTheme="minorHAnsi"/>
          <w:b w:val="0"/>
          <w:bCs w:val="0"/>
          <w:caps w:val="0"/>
        </w:rPr>
        <w:fldChar w:fldCharType="begin"/>
      </w:r>
      <w:r>
        <w:rPr>
          <w:rFonts w:asciiTheme="minorHAnsi" w:hAnsiTheme="minorHAnsi"/>
          <w:b w:val="0"/>
          <w:bCs w:val="0"/>
          <w:caps w:val="0"/>
        </w:rPr>
        <w:instrText xml:space="preserve"> TOC \o "1-3" \h \z \t "UZEI Nadpis 4.st;4" </w:instrText>
      </w:r>
      <w:r>
        <w:rPr>
          <w:rFonts w:asciiTheme="minorHAnsi" w:hAnsiTheme="minorHAnsi"/>
          <w:b w:val="0"/>
          <w:bCs w:val="0"/>
          <w:caps w:val="0"/>
        </w:rPr>
        <w:fldChar w:fldCharType="separate"/>
      </w:r>
      <w:hyperlink w:anchor="_Toc81743826" w:history="1">
        <w:r w:rsidR="00DB56B7" w:rsidRPr="00981305">
          <w:rPr>
            <w:rStyle w:val="Hypertextovodkaz"/>
            <w:noProof/>
          </w:rPr>
          <w:t>Seznam zkratek</w:t>
        </w:r>
        <w:r w:rsidR="00DB56B7">
          <w:rPr>
            <w:noProof/>
            <w:webHidden/>
          </w:rPr>
          <w:tab/>
        </w:r>
        <w:r w:rsidR="00DB56B7">
          <w:rPr>
            <w:noProof/>
            <w:webHidden/>
          </w:rPr>
          <w:fldChar w:fldCharType="begin"/>
        </w:r>
        <w:r w:rsidR="00DB56B7">
          <w:rPr>
            <w:noProof/>
            <w:webHidden/>
          </w:rPr>
          <w:instrText xml:space="preserve"> PAGEREF _Toc81743826 \h </w:instrText>
        </w:r>
        <w:r w:rsidR="00DB56B7">
          <w:rPr>
            <w:noProof/>
            <w:webHidden/>
          </w:rPr>
        </w:r>
        <w:r w:rsidR="00DB56B7">
          <w:rPr>
            <w:noProof/>
            <w:webHidden/>
          </w:rPr>
          <w:fldChar w:fldCharType="separate"/>
        </w:r>
        <w:r w:rsidR="00DB56B7">
          <w:rPr>
            <w:noProof/>
            <w:webHidden/>
          </w:rPr>
          <w:t>3</w:t>
        </w:r>
        <w:r w:rsidR="00DB56B7">
          <w:rPr>
            <w:noProof/>
            <w:webHidden/>
          </w:rPr>
          <w:fldChar w:fldCharType="end"/>
        </w:r>
      </w:hyperlink>
    </w:p>
    <w:p w14:paraId="4893E84A" w14:textId="6CD02DA4" w:rsidR="00DB56B7" w:rsidRDefault="00BB1301">
      <w:pPr>
        <w:pStyle w:val="Obsah1"/>
        <w:tabs>
          <w:tab w:val="right" w:leader="dot" w:pos="9062"/>
        </w:tabs>
        <w:rPr>
          <w:rFonts w:asciiTheme="minorHAnsi" w:eastAsiaTheme="minorEastAsia" w:hAnsiTheme="minorHAnsi"/>
          <w:b w:val="0"/>
          <w:bCs w:val="0"/>
          <w:caps w:val="0"/>
          <w:noProof/>
          <w:sz w:val="24"/>
          <w:szCs w:val="24"/>
          <w:lang w:val="cs-CZ" w:eastAsia="cs-CZ"/>
        </w:rPr>
      </w:pPr>
      <w:hyperlink w:anchor="_Toc81743827" w:history="1">
        <w:r w:rsidR="00DB56B7" w:rsidRPr="00981305">
          <w:rPr>
            <w:rStyle w:val="Hypertextovodkaz"/>
            <w:noProof/>
          </w:rPr>
          <w:t>Seznam tabulek</w:t>
        </w:r>
        <w:r w:rsidR="00DB56B7">
          <w:rPr>
            <w:noProof/>
            <w:webHidden/>
          </w:rPr>
          <w:tab/>
        </w:r>
        <w:r w:rsidR="00DB56B7">
          <w:rPr>
            <w:noProof/>
            <w:webHidden/>
          </w:rPr>
          <w:fldChar w:fldCharType="begin"/>
        </w:r>
        <w:r w:rsidR="00DB56B7">
          <w:rPr>
            <w:noProof/>
            <w:webHidden/>
          </w:rPr>
          <w:instrText xml:space="preserve"> PAGEREF _Toc81743827 \h </w:instrText>
        </w:r>
        <w:r w:rsidR="00DB56B7">
          <w:rPr>
            <w:noProof/>
            <w:webHidden/>
          </w:rPr>
        </w:r>
        <w:r w:rsidR="00DB56B7">
          <w:rPr>
            <w:noProof/>
            <w:webHidden/>
          </w:rPr>
          <w:fldChar w:fldCharType="separate"/>
        </w:r>
        <w:r w:rsidR="00DB56B7">
          <w:rPr>
            <w:noProof/>
            <w:webHidden/>
          </w:rPr>
          <w:t>4</w:t>
        </w:r>
        <w:r w:rsidR="00DB56B7">
          <w:rPr>
            <w:noProof/>
            <w:webHidden/>
          </w:rPr>
          <w:fldChar w:fldCharType="end"/>
        </w:r>
      </w:hyperlink>
    </w:p>
    <w:p w14:paraId="6D4329BC" w14:textId="6C1DB6F3" w:rsidR="00DB56B7" w:rsidRDefault="00BB1301">
      <w:pPr>
        <w:pStyle w:val="Obsah1"/>
        <w:tabs>
          <w:tab w:val="right" w:leader="dot" w:pos="9062"/>
        </w:tabs>
        <w:rPr>
          <w:rFonts w:asciiTheme="minorHAnsi" w:eastAsiaTheme="minorEastAsia" w:hAnsiTheme="minorHAnsi"/>
          <w:b w:val="0"/>
          <w:bCs w:val="0"/>
          <w:caps w:val="0"/>
          <w:noProof/>
          <w:sz w:val="24"/>
          <w:szCs w:val="24"/>
          <w:lang w:val="cs-CZ" w:eastAsia="cs-CZ"/>
        </w:rPr>
      </w:pPr>
      <w:hyperlink w:anchor="_Toc81743828" w:history="1">
        <w:r w:rsidR="00DB56B7" w:rsidRPr="00981305">
          <w:rPr>
            <w:rStyle w:val="Hypertextovodkaz"/>
            <w:noProof/>
          </w:rPr>
          <w:t>Seznam grafů</w:t>
        </w:r>
        <w:r w:rsidR="00DB56B7">
          <w:rPr>
            <w:noProof/>
            <w:webHidden/>
          </w:rPr>
          <w:tab/>
        </w:r>
        <w:r w:rsidR="00DB56B7">
          <w:rPr>
            <w:noProof/>
            <w:webHidden/>
          </w:rPr>
          <w:fldChar w:fldCharType="begin"/>
        </w:r>
        <w:r w:rsidR="00DB56B7">
          <w:rPr>
            <w:noProof/>
            <w:webHidden/>
          </w:rPr>
          <w:instrText xml:space="preserve"> PAGEREF _Toc81743828 \h </w:instrText>
        </w:r>
        <w:r w:rsidR="00DB56B7">
          <w:rPr>
            <w:noProof/>
            <w:webHidden/>
          </w:rPr>
        </w:r>
        <w:r w:rsidR="00DB56B7">
          <w:rPr>
            <w:noProof/>
            <w:webHidden/>
          </w:rPr>
          <w:fldChar w:fldCharType="separate"/>
        </w:r>
        <w:r w:rsidR="00DB56B7">
          <w:rPr>
            <w:noProof/>
            <w:webHidden/>
          </w:rPr>
          <w:t>4</w:t>
        </w:r>
        <w:r w:rsidR="00DB56B7">
          <w:rPr>
            <w:noProof/>
            <w:webHidden/>
          </w:rPr>
          <w:fldChar w:fldCharType="end"/>
        </w:r>
      </w:hyperlink>
    </w:p>
    <w:p w14:paraId="44A4FCBE" w14:textId="18AAAB7C" w:rsidR="00DB56B7" w:rsidRDefault="00BB13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1743829" w:history="1">
        <w:r w:rsidR="00DB56B7" w:rsidRPr="00981305">
          <w:rPr>
            <w:rStyle w:val="Hypertextovodkaz"/>
            <w:noProof/>
          </w:rPr>
          <w:t>1</w:t>
        </w:r>
        <w:r w:rsidR="00DB56B7">
          <w:rPr>
            <w:rFonts w:asciiTheme="minorHAnsi" w:eastAsiaTheme="minorEastAsia" w:hAnsiTheme="minorHAnsi"/>
            <w:b w:val="0"/>
            <w:bCs w:val="0"/>
            <w:caps w:val="0"/>
            <w:noProof/>
            <w:sz w:val="24"/>
            <w:szCs w:val="24"/>
            <w:lang w:val="cs-CZ" w:eastAsia="cs-CZ"/>
          </w:rPr>
          <w:tab/>
        </w:r>
        <w:r w:rsidR="00DB56B7" w:rsidRPr="00981305">
          <w:rPr>
            <w:rStyle w:val="Hypertextovodkaz"/>
            <w:noProof/>
          </w:rPr>
          <w:t>Analýza stávajících/navrhovaných právních předpisů EK/ČR a pravděpodobné nastavení směrů a cílů SZP</w:t>
        </w:r>
        <w:r w:rsidR="00DB56B7">
          <w:rPr>
            <w:noProof/>
            <w:webHidden/>
          </w:rPr>
          <w:tab/>
        </w:r>
        <w:r w:rsidR="00DB56B7">
          <w:rPr>
            <w:noProof/>
            <w:webHidden/>
          </w:rPr>
          <w:fldChar w:fldCharType="begin"/>
        </w:r>
        <w:r w:rsidR="00DB56B7">
          <w:rPr>
            <w:noProof/>
            <w:webHidden/>
          </w:rPr>
          <w:instrText xml:space="preserve"> PAGEREF _Toc81743829 \h </w:instrText>
        </w:r>
        <w:r w:rsidR="00DB56B7">
          <w:rPr>
            <w:noProof/>
            <w:webHidden/>
          </w:rPr>
        </w:r>
        <w:r w:rsidR="00DB56B7">
          <w:rPr>
            <w:noProof/>
            <w:webHidden/>
          </w:rPr>
          <w:fldChar w:fldCharType="separate"/>
        </w:r>
        <w:r w:rsidR="00DB56B7">
          <w:rPr>
            <w:noProof/>
            <w:webHidden/>
          </w:rPr>
          <w:t>6</w:t>
        </w:r>
        <w:r w:rsidR="00DB56B7">
          <w:rPr>
            <w:noProof/>
            <w:webHidden/>
          </w:rPr>
          <w:fldChar w:fldCharType="end"/>
        </w:r>
      </w:hyperlink>
    </w:p>
    <w:p w14:paraId="0880F126" w14:textId="66385B62" w:rsidR="00DB56B7" w:rsidRDefault="00BB13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1743830" w:history="1">
        <w:r w:rsidR="00DB56B7" w:rsidRPr="00981305">
          <w:rPr>
            <w:rStyle w:val="Hypertextovodkaz"/>
            <w:noProof/>
          </w:rPr>
          <w:t>2</w:t>
        </w:r>
        <w:r w:rsidR="00DB56B7">
          <w:rPr>
            <w:rFonts w:asciiTheme="minorHAnsi" w:eastAsiaTheme="minorEastAsia" w:hAnsiTheme="minorHAnsi"/>
            <w:b w:val="0"/>
            <w:bCs w:val="0"/>
            <w:caps w:val="0"/>
            <w:noProof/>
            <w:sz w:val="24"/>
            <w:szCs w:val="24"/>
            <w:lang w:val="cs-CZ" w:eastAsia="cs-CZ"/>
          </w:rPr>
          <w:tab/>
        </w:r>
        <w:r w:rsidR="00DB56B7" w:rsidRPr="00981305">
          <w:rPr>
            <w:rStyle w:val="Hypertextovodkaz"/>
            <w:noProof/>
          </w:rPr>
          <w:t>Stanovení skutečného problému, na který má politika reagovat Co je skutečným problémem, na který má/by měla politika v rámci jednotlivých dílčích cílů reagovat?</w:t>
        </w:r>
        <w:r w:rsidR="00DB56B7">
          <w:rPr>
            <w:noProof/>
            <w:webHidden/>
          </w:rPr>
          <w:tab/>
        </w:r>
        <w:r w:rsidR="00DB56B7">
          <w:rPr>
            <w:noProof/>
            <w:webHidden/>
          </w:rPr>
          <w:fldChar w:fldCharType="begin"/>
        </w:r>
        <w:r w:rsidR="00DB56B7">
          <w:rPr>
            <w:noProof/>
            <w:webHidden/>
          </w:rPr>
          <w:instrText xml:space="preserve"> PAGEREF _Toc81743830 \h </w:instrText>
        </w:r>
        <w:r w:rsidR="00DB56B7">
          <w:rPr>
            <w:noProof/>
            <w:webHidden/>
          </w:rPr>
        </w:r>
        <w:r w:rsidR="00DB56B7">
          <w:rPr>
            <w:noProof/>
            <w:webHidden/>
          </w:rPr>
          <w:fldChar w:fldCharType="separate"/>
        </w:r>
        <w:r w:rsidR="00DB56B7">
          <w:rPr>
            <w:noProof/>
            <w:webHidden/>
          </w:rPr>
          <w:t>8</w:t>
        </w:r>
        <w:r w:rsidR="00DB56B7">
          <w:rPr>
            <w:noProof/>
            <w:webHidden/>
          </w:rPr>
          <w:fldChar w:fldCharType="end"/>
        </w:r>
      </w:hyperlink>
    </w:p>
    <w:p w14:paraId="55AFF667" w14:textId="4B71F1A8" w:rsidR="00DB56B7" w:rsidRDefault="00BB13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1743831" w:history="1">
        <w:r w:rsidR="00DB56B7" w:rsidRPr="00981305">
          <w:rPr>
            <w:rStyle w:val="Hypertextovodkaz"/>
            <w:noProof/>
          </w:rPr>
          <w:t>3</w:t>
        </w:r>
        <w:r w:rsidR="00DB56B7">
          <w:rPr>
            <w:rFonts w:asciiTheme="minorHAnsi" w:eastAsiaTheme="minorEastAsia" w:hAnsiTheme="minorHAnsi"/>
            <w:b w:val="0"/>
            <w:bCs w:val="0"/>
            <w:caps w:val="0"/>
            <w:noProof/>
            <w:sz w:val="24"/>
            <w:szCs w:val="24"/>
            <w:lang w:val="cs-CZ" w:eastAsia="cs-CZ"/>
          </w:rPr>
          <w:tab/>
        </w:r>
        <w:r w:rsidR="00DB56B7" w:rsidRPr="00981305">
          <w:rPr>
            <w:rStyle w:val="Hypertextovodkaz"/>
            <w:noProof/>
          </w:rPr>
          <w:t>Mechanismus a příčiny problému</w:t>
        </w:r>
        <w:r w:rsidR="00DB56B7">
          <w:rPr>
            <w:noProof/>
            <w:webHidden/>
          </w:rPr>
          <w:tab/>
        </w:r>
        <w:r w:rsidR="00DB56B7">
          <w:rPr>
            <w:noProof/>
            <w:webHidden/>
          </w:rPr>
          <w:fldChar w:fldCharType="begin"/>
        </w:r>
        <w:r w:rsidR="00DB56B7">
          <w:rPr>
            <w:noProof/>
            <w:webHidden/>
          </w:rPr>
          <w:instrText xml:space="preserve"> PAGEREF _Toc81743831 \h </w:instrText>
        </w:r>
        <w:r w:rsidR="00DB56B7">
          <w:rPr>
            <w:noProof/>
            <w:webHidden/>
          </w:rPr>
        </w:r>
        <w:r w:rsidR="00DB56B7">
          <w:rPr>
            <w:noProof/>
            <w:webHidden/>
          </w:rPr>
          <w:fldChar w:fldCharType="separate"/>
        </w:r>
        <w:r w:rsidR="00DB56B7">
          <w:rPr>
            <w:noProof/>
            <w:webHidden/>
          </w:rPr>
          <w:t>22</w:t>
        </w:r>
        <w:r w:rsidR="00DB56B7">
          <w:rPr>
            <w:noProof/>
            <w:webHidden/>
          </w:rPr>
          <w:fldChar w:fldCharType="end"/>
        </w:r>
      </w:hyperlink>
    </w:p>
    <w:p w14:paraId="5A8C9EB7" w14:textId="0CFFCC6F" w:rsidR="00DB56B7" w:rsidRDefault="00BB13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1743832" w:history="1">
        <w:r w:rsidR="00DB56B7" w:rsidRPr="00981305">
          <w:rPr>
            <w:rStyle w:val="Hypertextovodkaz"/>
            <w:noProof/>
          </w:rPr>
          <w:t>4</w:t>
        </w:r>
        <w:r w:rsidR="00DB56B7">
          <w:rPr>
            <w:rFonts w:asciiTheme="minorHAnsi" w:eastAsiaTheme="minorEastAsia" w:hAnsiTheme="minorHAnsi"/>
            <w:b w:val="0"/>
            <w:bCs w:val="0"/>
            <w:caps w:val="0"/>
            <w:noProof/>
            <w:sz w:val="24"/>
            <w:szCs w:val="24"/>
            <w:lang w:val="cs-CZ" w:eastAsia="cs-CZ"/>
          </w:rPr>
          <w:tab/>
        </w:r>
        <w:r w:rsidR="00DB56B7" w:rsidRPr="00981305">
          <w:rPr>
            <w:rStyle w:val="Hypertextovodkaz"/>
            <w:noProof/>
          </w:rPr>
          <w:t>Závažnost problému</w:t>
        </w:r>
        <w:r w:rsidR="00DB56B7">
          <w:rPr>
            <w:noProof/>
            <w:webHidden/>
          </w:rPr>
          <w:tab/>
        </w:r>
        <w:r w:rsidR="00DB56B7">
          <w:rPr>
            <w:noProof/>
            <w:webHidden/>
          </w:rPr>
          <w:fldChar w:fldCharType="begin"/>
        </w:r>
        <w:r w:rsidR="00DB56B7">
          <w:rPr>
            <w:noProof/>
            <w:webHidden/>
          </w:rPr>
          <w:instrText xml:space="preserve"> PAGEREF _Toc81743832 \h </w:instrText>
        </w:r>
        <w:r w:rsidR="00DB56B7">
          <w:rPr>
            <w:noProof/>
            <w:webHidden/>
          </w:rPr>
        </w:r>
        <w:r w:rsidR="00DB56B7">
          <w:rPr>
            <w:noProof/>
            <w:webHidden/>
          </w:rPr>
          <w:fldChar w:fldCharType="separate"/>
        </w:r>
        <w:r w:rsidR="00DB56B7">
          <w:rPr>
            <w:noProof/>
            <w:webHidden/>
          </w:rPr>
          <w:t>24</w:t>
        </w:r>
        <w:r w:rsidR="00DB56B7">
          <w:rPr>
            <w:noProof/>
            <w:webHidden/>
          </w:rPr>
          <w:fldChar w:fldCharType="end"/>
        </w:r>
      </w:hyperlink>
    </w:p>
    <w:p w14:paraId="5FB1AF64" w14:textId="117275BC" w:rsidR="00DB56B7" w:rsidRDefault="00BB13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1743833" w:history="1">
        <w:r w:rsidR="00DB56B7" w:rsidRPr="00981305">
          <w:rPr>
            <w:rStyle w:val="Hypertextovodkaz"/>
            <w:noProof/>
          </w:rPr>
          <w:t>5</w:t>
        </w:r>
        <w:r w:rsidR="00DB56B7">
          <w:rPr>
            <w:rFonts w:asciiTheme="minorHAnsi" w:eastAsiaTheme="minorEastAsia" w:hAnsiTheme="minorHAnsi"/>
            <w:b w:val="0"/>
            <w:bCs w:val="0"/>
            <w:caps w:val="0"/>
            <w:noProof/>
            <w:sz w:val="24"/>
            <w:szCs w:val="24"/>
            <w:lang w:val="cs-CZ" w:eastAsia="cs-CZ"/>
          </w:rPr>
          <w:tab/>
        </w:r>
        <w:r w:rsidR="00DB56B7" w:rsidRPr="00981305">
          <w:rPr>
            <w:rStyle w:val="Hypertextovodkaz"/>
            <w:noProof/>
          </w:rPr>
          <w:t>Řešení v rámci nástrojů SZP, které lze uvažovat v nových návrzích SZP</w:t>
        </w:r>
        <w:r w:rsidR="00DB56B7">
          <w:rPr>
            <w:noProof/>
            <w:webHidden/>
          </w:rPr>
          <w:tab/>
        </w:r>
        <w:r w:rsidR="00DB56B7">
          <w:rPr>
            <w:noProof/>
            <w:webHidden/>
          </w:rPr>
          <w:fldChar w:fldCharType="begin"/>
        </w:r>
        <w:r w:rsidR="00DB56B7">
          <w:rPr>
            <w:noProof/>
            <w:webHidden/>
          </w:rPr>
          <w:instrText xml:space="preserve"> PAGEREF _Toc81743833 \h </w:instrText>
        </w:r>
        <w:r w:rsidR="00DB56B7">
          <w:rPr>
            <w:noProof/>
            <w:webHidden/>
          </w:rPr>
        </w:r>
        <w:r w:rsidR="00DB56B7">
          <w:rPr>
            <w:noProof/>
            <w:webHidden/>
          </w:rPr>
          <w:fldChar w:fldCharType="separate"/>
        </w:r>
        <w:r w:rsidR="00DB56B7">
          <w:rPr>
            <w:noProof/>
            <w:webHidden/>
          </w:rPr>
          <w:t>25</w:t>
        </w:r>
        <w:r w:rsidR="00DB56B7">
          <w:rPr>
            <w:noProof/>
            <w:webHidden/>
          </w:rPr>
          <w:fldChar w:fldCharType="end"/>
        </w:r>
      </w:hyperlink>
    </w:p>
    <w:p w14:paraId="3EA27229" w14:textId="0E049D5E" w:rsidR="00DB56B7" w:rsidRDefault="00BB13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1743834" w:history="1">
        <w:r w:rsidR="00DB56B7" w:rsidRPr="00981305">
          <w:rPr>
            <w:rStyle w:val="Hypertextovodkaz"/>
            <w:noProof/>
          </w:rPr>
          <w:t>6</w:t>
        </w:r>
        <w:r w:rsidR="00DB56B7">
          <w:rPr>
            <w:rFonts w:asciiTheme="minorHAnsi" w:eastAsiaTheme="minorEastAsia" w:hAnsiTheme="minorHAnsi"/>
            <w:b w:val="0"/>
            <w:bCs w:val="0"/>
            <w:caps w:val="0"/>
            <w:noProof/>
            <w:sz w:val="24"/>
            <w:szCs w:val="24"/>
            <w:lang w:val="cs-CZ" w:eastAsia="cs-CZ"/>
          </w:rPr>
          <w:tab/>
        </w:r>
        <w:r w:rsidR="00DB56B7" w:rsidRPr="00981305">
          <w:rPr>
            <w:rStyle w:val="Hypertextovodkaz"/>
            <w:noProof/>
          </w:rPr>
          <w:t>Míra stávajícího řešení problému</w:t>
        </w:r>
        <w:r w:rsidR="00DB56B7">
          <w:rPr>
            <w:noProof/>
            <w:webHidden/>
          </w:rPr>
          <w:tab/>
        </w:r>
        <w:r w:rsidR="00DB56B7">
          <w:rPr>
            <w:noProof/>
            <w:webHidden/>
          </w:rPr>
          <w:fldChar w:fldCharType="begin"/>
        </w:r>
        <w:r w:rsidR="00DB56B7">
          <w:rPr>
            <w:noProof/>
            <w:webHidden/>
          </w:rPr>
          <w:instrText xml:space="preserve"> PAGEREF _Toc81743834 \h </w:instrText>
        </w:r>
        <w:r w:rsidR="00DB56B7">
          <w:rPr>
            <w:noProof/>
            <w:webHidden/>
          </w:rPr>
        </w:r>
        <w:r w:rsidR="00DB56B7">
          <w:rPr>
            <w:noProof/>
            <w:webHidden/>
          </w:rPr>
          <w:fldChar w:fldCharType="separate"/>
        </w:r>
        <w:r w:rsidR="00DB56B7">
          <w:rPr>
            <w:noProof/>
            <w:webHidden/>
          </w:rPr>
          <w:t>33</w:t>
        </w:r>
        <w:r w:rsidR="00DB56B7">
          <w:rPr>
            <w:noProof/>
            <w:webHidden/>
          </w:rPr>
          <w:fldChar w:fldCharType="end"/>
        </w:r>
      </w:hyperlink>
    </w:p>
    <w:p w14:paraId="790258C5" w14:textId="0E3AA57B" w:rsidR="00DB56B7" w:rsidRDefault="00BB13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1743835" w:history="1">
        <w:r w:rsidR="00DB56B7" w:rsidRPr="00981305">
          <w:rPr>
            <w:rStyle w:val="Hypertextovodkaz"/>
            <w:noProof/>
          </w:rPr>
          <w:t>7</w:t>
        </w:r>
        <w:r w:rsidR="00DB56B7">
          <w:rPr>
            <w:rFonts w:asciiTheme="minorHAnsi" w:eastAsiaTheme="minorEastAsia" w:hAnsiTheme="minorHAnsi"/>
            <w:b w:val="0"/>
            <w:bCs w:val="0"/>
            <w:caps w:val="0"/>
            <w:noProof/>
            <w:sz w:val="24"/>
            <w:szCs w:val="24"/>
            <w:lang w:val="cs-CZ" w:eastAsia="cs-CZ"/>
          </w:rPr>
          <w:tab/>
        </w:r>
        <w:r w:rsidR="00DB56B7" w:rsidRPr="00981305">
          <w:rPr>
            <w:rStyle w:val="Hypertextovodkaz"/>
            <w:noProof/>
          </w:rPr>
          <w:t>Detailnější posouzení vlivu předpisů</w:t>
        </w:r>
        <w:r w:rsidR="00DB56B7">
          <w:rPr>
            <w:noProof/>
            <w:webHidden/>
          </w:rPr>
          <w:tab/>
        </w:r>
        <w:r w:rsidR="00DB56B7">
          <w:rPr>
            <w:noProof/>
            <w:webHidden/>
          </w:rPr>
          <w:fldChar w:fldCharType="begin"/>
        </w:r>
        <w:r w:rsidR="00DB56B7">
          <w:rPr>
            <w:noProof/>
            <w:webHidden/>
          </w:rPr>
          <w:instrText xml:space="preserve"> PAGEREF _Toc81743835 \h </w:instrText>
        </w:r>
        <w:r w:rsidR="00DB56B7">
          <w:rPr>
            <w:noProof/>
            <w:webHidden/>
          </w:rPr>
        </w:r>
        <w:r w:rsidR="00DB56B7">
          <w:rPr>
            <w:noProof/>
            <w:webHidden/>
          </w:rPr>
          <w:fldChar w:fldCharType="separate"/>
        </w:r>
        <w:r w:rsidR="00DB56B7">
          <w:rPr>
            <w:noProof/>
            <w:webHidden/>
          </w:rPr>
          <w:t>47</w:t>
        </w:r>
        <w:r w:rsidR="00DB56B7">
          <w:rPr>
            <w:noProof/>
            <w:webHidden/>
          </w:rPr>
          <w:fldChar w:fldCharType="end"/>
        </w:r>
      </w:hyperlink>
    </w:p>
    <w:p w14:paraId="6A148183" w14:textId="37AEDBC5" w:rsidR="00DB56B7" w:rsidRDefault="00BB13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1743836" w:history="1">
        <w:r w:rsidR="00DB56B7" w:rsidRPr="00981305">
          <w:rPr>
            <w:rStyle w:val="Hypertextovodkaz"/>
            <w:noProof/>
          </w:rPr>
          <w:t>8</w:t>
        </w:r>
        <w:r w:rsidR="00DB56B7">
          <w:rPr>
            <w:rFonts w:asciiTheme="minorHAnsi" w:eastAsiaTheme="minorEastAsia" w:hAnsiTheme="minorHAnsi"/>
            <w:b w:val="0"/>
            <w:bCs w:val="0"/>
            <w:caps w:val="0"/>
            <w:noProof/>
            <w:sz w:val="24"/>
            <w:szCs w:val="24"/>
            <w:lang w:val="cs-CZ" w:eastAsia="cs-CZ"/>
          </w:rPr>
          <w:tab/>
        </w:r>
        <w:r w:rsidR="00DB56B7" w:rsidRPr="00981305">
          <w:rPr>
            <w:rStyle w:val="Hypertextovodkaz"/>
            <w:noProof/>
          </w:rPr>
          <w:t>Jak by se situace vyvíjela bez zavedení příslušných intervencí?</w:t>
        </w:r>
        <w:r w:rsidR="00DB56B7">
          <w:rPr>
            <w:noProof/>
            <w:webHidden/>
          </w:rPr>
          <w:tab/>
        </w:r>
        <w:r w:rsidR="00DB56B7">
          <w:rPr>
            <w:noProof/>
            <w:webHidden/>
          </w:rPr>
          <w:fldChar w:fldCharType="begin"/>
        </w:r>
        <w:r w:rsidR="00DB56B7">
          <w:rPr>
            <w:noProof/>
            <w:webHidden/>
          </w:rPr>
          <w:instrText xml:space="preserve"> PAGEREF _Toc81743836 \h </w:instrText>
        </w:r>
        <w:r w:rsidR="00DB56B7">
          <w:rPr>
            <w:noProof/>
            <w:webHidden/>
          </w:rPr>
        </w:r>
        <w:r w:rsidR="00DB56B7">
          <w:rPr>
            <w:noProof/>
            <w:webHidden/>
          </w:rPr>
          <w:fldChar w:fldCharType="separate"/>
        </w:r>
        <w:r w:rsidR="00DB56B7">
          <w:rPr>
            <w:noProof/>
            <w:webHidden/>
          </w:rPr>
          <w:t>48</w:t>
        </w:r>
        <w:r w:rsidR="00DB56B7">
          <w:rPr>
            <w:noProof/>
            <w:webHidden/>
          </w:rPr>
          <w:fldChar w:fldCharType="end"/>
        </w:r>
      </w:hyperlink>
    </w:p>
    <w:p w14:paraId="2FB979D9" w14:textId="222A80A1" w:rsidR="00DB56B7" w:rsidRDefault="00BB1301">
      <w:pPr>
        <w:pStyle w:val="Obsah1"/>
        <w:tabs>
          <w:tab w:val="left" w:pos="480"/>
          <w:tab w:val="right" w:leader="dot" w:pos="9062"/>
        </w:tabs>
        <w:rPr>
          <w:rFonts w:asciiTheme="minorHAnsi" w:eastAsiaTheme="minorEastAsia" w:hAnsiTheme="minorHAnsi"/>
          <w:b w:val="0"/>
          <w:bCs w:val="0"/>
          <w:caps w:val="0"/>
          <w:noProof/>
          <w:sz w:val="24"/>
          <w:szCs w:val="24"/>
          <w:lang w:val="cs-CZ" w:eastAsia="cs-CZ"/>
        </w:rPr>
      </w:pPr>
      <w:hyperlink w:anchor="_Toc81743837" w:history="1">
        <w:r w:rsidR="00DB56B7" w:rsidRPr="00981305">
          <w:rPr>
            <w:rStyle w:val="Hypertextovodkaz"/>
            <w:noProof/>
          </w:rPr>
          <w:t>9</w:t>
        </w:r>
        <w:r w:rsidR="00DB56B7">
          <w:rPr>
            <w:rFonts w:asciiTheme="minorHAnsi" w:eastAsiaTheme="minorEastAsia" w:hAnsiTheme="minorHAnsi"/>
            <w:b w:val="0"/>
            <w:bCs w:val="0"/>
            <w:caps w:val="0"/>
            <w:noProof/>
            <w:sz w:val="24"/>
            <w:szCs w:val="24"/>
            <w:lang w:val="cs-CZ" w:eastAsia="cs-CZ"/>
          </w:rPr>
          <w:tab/>
        </w:r>
        <w:r w:rsidR="00DB56B7" w:rsidRPr="00981305">
          <w:rPr>
            <w:rStyle w:val="Hypertextovodkaz"/>
            <w:noProof/>
          </w:rPr>
          <w:t>SWOT analýza</w:t>
        </w:r>
        <w:r w:rsidR="00DB56B7">
          <w:rPr>
            <w:noProof/>
            <w:webHidden/>
          </w:rPr>
          <w:tab/>
        </w:r>
        <w:r w:rsidR="00DB56B7">
          <w:rPr>
            <w:noProof/>
            <w:webHidden/>
          </w:rPr>
          <w:fldChar w:fldCharType="begin"/>
        </w:r>
        <w:r w:rsidR="00DB56B7">
          <w:rPr>
            <w:noProof/>
            <w:webHidden/>
          </w:rPr>
          <w:instrText xml:space="preserve"> PAGEREF _Toc81743837 \h </w:instrText>
        </w:r>
        <w:r w:rsidR="00DB56B7">
          <w:rPr>
            <w:noProof/>
            <w:webHidden/>
          </w:rPr>
        </w:r>
        <w:r w:rsidR="00DB56B7">
          <w:rPr>
            <w:noProof/>
            <w:webHidden/>
          </w:rPr>
          <w:fldChar w:fldCharType="separate"/>
        </w:r>
        <w:r w:rsidR="00DB56B7">
          <w:rPr>
            <w:noProof/>
            <w:webHidden/>
          </w:rPr>
          <w:t>49</w:t>
        </w:r>
        <w:r w:rsidR="00DB56B7">
          <w:rPr>
            <w:noProof/>
            <w:webHidden/>
          </w:rPr>
          <w:fldChar w:fldCharType="end"/>
        </w:r>
      </w:hyperlink>
    </w:p>
    <w:p w14:paraId="79844BF3" w14:textId="12096222" w:rsidR="00DB56B7" w:rsidRDefault="00BB1301">
      <w:pPr>
        <w:pStyle w:val="Obsah1"/>
        <w:tabs>
          <w:tab w:val="right" w:leader="dot" w:pos="9062"/>
        </w:tabs>
        <w:rPr>
          <w:rFonts w:asciiTheme="minorHAnsi" w:eastAsiaTheme="minorEastAsia" w:hAnsiTheme="minorHAnsi"/>
          <w:b w:val="0"/>
          <w:bCs w:val="0"/>
          <w:caps w:val="0"/>
          <w:noProof/>
          <w:sz w:val="24"/>
          <w:szCs w:val="24"/>
          <w:lang w:val="cs-CZ" w:eastAsia="cs-CZ"/>
        </w:rPr>
      </w:pPr>
      <w:hyperlink w:anchor="_Toc81743838" w:history="1">
        <w:r w:rsidR="00DB56B7" w:rsidRPr="00981305">
          <w:rPr>
            <w:rStyle w:val="Hypertextovodkaz"/>
            <w:noProof/>
          </w:rPr>
          <w:t>Reference</w:t>
        </w:r>
        <w:r w:rsidR="00DB56B7">
          <w:rPr>
            <w:noProof/>
            <w:webHidden/>
          </w:rPr>
          <w:tab/>
        </w:r>
        <w:r w:rsidR="00DB56B7">
          <w:rPr>
            <w:noProof/>
            <w:webHidden/>
          </w:rPr>
          <w:fldChar w:fldCharType="begin"/>
        </w:r>
        <w:r w:rsidR="00DB56B7">
          <w:rPr>
            <w:noProof/>
            <w:webHidden/>
          </w:rPr>
          <w:instrText xml:space="preserve"> PAGEREF _Toc81743838 \h </w:instrText>
        </w:r>
        <w:r w:rsidR="00DB56B7">
          <w:rPr>
            <w:noProof/>
            <w:webHidden/>
          </w:rPr>
        </w:r>
        <w:r w:rsidR="00DB56B7">
          <w:rPr>
            <w:noProof/>
            <w:webHidden/>
          </w:rPr>
          <w:fldChar w:fldCharType="separate"/>
        </w:r>
        <w:r w:rsidR="00DB56B7">
          <w:rPr>
            <w:noProof/>
            <w:webHidden/>
          </w:rPr>
          <w:t>51</w:t>
        </w:r>
        <w:r w:rsidR="00DB56B7">
          <w:rPr>
            <w:noProof/>
            <w:webHidden/>
          </w:rPr>
          <w:fldChar w:fldCharType="end"/>
        </w:r>
      </w:hyperlink>
    </w:p>
    <w:p w14:paraId="6362AC7A" w14:textId="1E5E2A75" w:rsidR="00DB56B7" w:rsidRDefault="00BB1301">
      <w:pPr>
        <w:pStyle w:val="Obsah1"/>
        <w:tabs>
          <w:tab w:val="right" w:leader="dot" w:pos="9062"/>
        </w:tabs>
        <w:rPr>
          <w:rFonts w:asciiTheme="minorHAnsi" w:eastAsiaTheme="minorEastAsia" w:hAnsiTheme="minorHAnsi"/>
          <w:b w:val="0"/>
          <w:bCs w:val="0"/>
          <w:caps w:val="0"/>
          <w:noProof/>
          <w:sz w:val="24"/>
          <w:szCs w:val="24"/>
          <w:lang w:val="cs-CZ" w:eastAsia="cs-CZ"/>
        </w:rPr>
      </w:pPr>
      <w:hyperlink w:anchor="_Toc81743839" w:history="1">
        <w:r w:rsidR="00DB56B7" w:rsidRPr="00981305">
          <w:rPr>
            <w:rStyle w:val="Hypertextovodkaz"/>
            <w:noProof/>
          </w:rPr>
          <w:t>Přílohy</w:t>
        </w:r>
        <w:r w:rsidR="00DB56B7">
          <w:rPr>
            <w:noProof/>
            <w:webHidden/>
          </w:rPr>
          <w:tab/>
        </w:r>
        <w:r w:rsidR="00DB56B7">
          <w:rPr>
            <w:noProof/>
            <w:webHidden/>
          </w:rPr>
          <w:fldChar w:fldCharType="begin"/>
        </w:r>
        <w:r w:rsidR="00DB56B7">
          <w:rPr>
            <w:noProof/>
            <w:webHidden/>
          </w:rPr>
          <w:instrText xml:space="preserve"> PAGEREF _Toc81743839 \h </w:instrText>
        </w:r>
        <w:r w:rsidR="00DB56B7">
          <w:rPr>
            <w:noProof/>
            <w:webHidden/>
          </w:rPr>
        </w:r>
        <w:r w:rsidR="00DB56B7">
          <w:rPr>
            <w:noProof/>
            <w:webHidden/>
          </w:rPr>
          <w:fldChar w:fldCharType="separate"/>
        </w:r>
        <w:r w:rsidR="00DB56B7">
          <w:rPr>
            <w:noProof/>
            <w:webHidden/>
          </w:rPr>
          <w:t>53</w:t>
        </w:r>
        <w:r w:rsidR="00DB56B7">
          <w:rPr>
            <w:noProof/>
            <w:webHidden/>
          </w:rPr>
          <w:fldChar w:fldCharType="end"/>
        </w:r>
      </w:hyperlink>
    </w:p>
    <w:p w14:paraId="5B7FA042" w14:textId="0715BCEB" w:rsidR="00DB56B7" w:rsidRDefault="00BB1301">
      <w:pPr>
        <w:pStyle w:val="Obsah4"/>
        <w:tabs>
          <w:tab w:val="right" w:leader="dot" w:pos="9062"/>
        </w:tabs>
        <w:rPr>
          <w:rFonts w:asciiTheme="minorHAnsi" w:eastAsiaTheme="minorEastAsia" w:hAnsiTheme="minorHAnsi"/>
          <w:noProof/>
          <w:sz w:val="24"/>
          <w:szCs w:val="24"/>
          <w:lang w:val="cs-CZ" w:eastAsia="cs-CZ"/>
        </w:rPr>
      </w:pPr>
      <w:hyperlink w:anchor="_Toc81743840" w:history="1">
        <w:r w:rsidR="00DB56B7" w:rsidRPr="00981305">
          <w:rPr>
            <w:rStyle w:val="Hypertextovodkaz"/>
            <w:noProof/>
          </w:rPr>
          <w:t xml:space="preserve">Příloha 1 </w:t>
        </w:r>
        <w:r w:rsidR="00DB56B7" w:rsidRPr="00981305">
          <w:rPr>
            <w:rStyle w:val="Hypertextovodkaz"/>
            <w:rFonts w:cs="Times New Roman"/>
            <w:noProof/>
          </w:rPr>
          <w:t>Shrnutí zhodnocení Vnitrostátní strategie ČR pro udržitelné operační programy organizací producentů sektoru ovoce a zeleniny</w:t>
        </w:r>
        <w:r w:rsidR="00DB56B7">
          <w:rPr>
            <w:noProof/>
            <w:webHidden/>
          </w:rPr>
          <w:tab/>
        </w:r>
        <w:r w:rsidR="00DB56B7">
          <w:rPr>
            <w:noProof/>
            <w:webHidden/>
          </w:rPr>
          <w:fldChar w:fldCharType="begin"/>
        </w:r>
        <w:r w:rsidR="00DB56B7">
          <w:rPr>
            <w:noProof/>
            <w:webHidden/>
          </w:rPr>
          <w:instrText xml:space="preserve"> PAGEREF _Toc81743840 \h </w:instrText>
        </w:r>
        <w:r w:rsidR="00DB56B7">
          <w:rPr>
            <w:noProof/>
            <w:webHidden/>
          </w:rPr>
        </w:r>
        <w:r w:rsidR="00DB56B7">
          <w:rPr>
            <w:noProof/>
            <w:webHidden/>
          </w:rPr>
          <w:fldChar w:fldCharType="separate"/>
        </w:r>
        <w:r w:rsidR="00DB56B7">
          <w:rPr>
            <w:noProof/>
            <w:webHidden/>
          </w:rPr>
          <w:t>53</w:t>
        </w:r>
        <w:r w:rsidR="00DB56B7">
          <w:rPr>
            <w:noProof/>
            <w:webHidden/>
          </w:rPr>
          <w:fldChar w:fldCharType="end"/>
        </w:r>
      </w:hyperlink>
    </w:p>
    <w:p w14:paraId="4A33D8F2" w14:textId="7ED1EB06" w:rsidR="00DB56B7" w:rsidRDefault="00BB1301">
      <w:pPr>
        <w:pStyle w:val="Obsah4"/>
        <w:tabs>
          <w:tab w:val="right" w:leader="dot" w:pos="9062"/>
        </w:tabs>
        <w:rPr>
          <w:rFonts w:asciiTheme="minorHAnsi" w:eastAsiaTheme="minorEastAsia" w:hAnsiTheme="minorHAnsi"/>
          <w:noProof/>
          <w:sz w:val="24"/>
          <w:szCs w:val="24"/>
          <w:lang w:val="cs-CZ" w:eastAsia="cs-CZ"/>
        </w:rPr>
      </w:pPr>
      <w:hyperlink w:anchor="_Toc81743841" w:history="1">
        <w:r w:rsidR="00DB56B7" w:rsidRPr="00981305">
          <w:rPr>
            <w:rStyle w:val="Hypertextovodkaz"/>
            <w:noProof/>
          </w:rPr>
          <w:t xml:space="preserve">Příloha 2 </w:t>
        </w:r>
        <w:r w:rsidR="00DB56B7" w:rsidRPr="00981305">
          <w:rPr>
            <w:rStyle w:val="Hypertextovodkaz"/>
            <w:rFonts w:cs="Times New Roman"/>
            <w:noProof/>
          </w:rPr>
          <w:t>Shrnutí Vyhodnocení programu podpor ve vinohradnictví a vinařství v ČR</w:t>
        </w:r>
        <w:r w:rsidR="00DB56B7">
          <w:rPr>
            <w:noProof/>
            <w:webHidden/>
          </w:rPr>
          <w:tab/>
        </w:r>
        <w:r w:rsidR="00DB56B7">
          <w:rPr>
            <w:noProof/>
            <w:webHidden/>
          </w:rPr>
          <w:fldChar w:fldCharType="begin"/>
        </w:r>
        <w:r w:rsidR="00DB56B7">
          <w:rPr>
            <w:noProof/>
            <w:webHidden/>
          </w:rPr>
          <w:instrText xml:space="preserve"> PAGEREF _Toc81743841 \h </w:instrText>
        </w:r>
        <w:r w:rsidR="00DB56B7">
          <w:rPr>
            <w:noProof/>
            <w:webHidden/>
          </w:rPr>
        </w:r>
        <w:r w:rsidR="00DB56B7">
          <w:rPr>
            <w:noProof/>
            <w:webHidden/>
          </w:rPr>
          <w:fldChar w:fldCharType="separate"/>
        </w:r>
        <w:r w:rsidR="00DB56B7">
          <w:rPr>
            <w:noProof/>
            <w:webHidden/>
          </w:rPr>
          <w:t>66</w:t>
        </w:r>
        <w:r w:rsidR="00DB56B7">
          <w:rPr>
            <w:noProof/>
            <w:webHidden/>
          </w:rPr>
          <w:fldChar w:fldCharType="end"/>
        </w:r>
      </w:hyperlink>
    </w:p>
    <w:p w14:paraId="42169501" w14:textId="129AFE07" w:rsidR="00DB56B7" w:rsidRDefault="00BB1301">
      <w:pPr>
        <w:pStyle w:val="Obsah4"/>
        <w:tabs>
          <w:tab w:val="right" w:leader="dot" w:pos="9062"/>
        </w:tabs>
        <w:rPr>
          <w:rFonts w:asciiTheme="minorHAnsi" w:eastAsiaTheme="minorEastAsia" w:hAnsiTheme="minorHAnsi"/>
          <w:noProof/>
          <w:sz w:val="24"/>
          <w:szCs w:val="24"/>
          <w:lang w:val="cs-CZ" w:eastAsia="cs-CZ"/>
        </w:rPr>
      </w:pPr>
      <w:hyperlink w:anchor="_Toc81743842" w:history="1">
        <w:r w:rsidR="00DB56B7" w:rsidRPr="00981305">
          <w:rPr>
            <w:rStyle w:val="Hypertextovodkaz"/>
            <w:noProof/>
          </w:rPr>
          <w:t xml:space="preserve">Příloha 3 </w:t>
        </w:r>
        <w:r w:rsidR="00DB56B7" w:rsidRPr="00981305">
          <w:rPr>
            <w:rStyle w:val="Hypertextovodkaz"/>
            <w:rFonts w:cs="Times New Roman"/>
            <w:noProof/>
          </w:rPr>
          <w:t>Shrnutí Vyhodnocení podpor včelařských programů</w:t>
        </w:r>
        <w:r w:rsidR="00DB56B7">
          <w:rPr>
            <w:noProof/>
            <w:webHidden/>
          </w:rPr>
          <w:tab/>
        </w:r>
        <w:r w:rsidR="00DB56B7">
          <w:rPr>
            <w:noProof/>
            <w:webHidden/>
          </w:rPr>
          <w:fldChar w:fldCharType="begin"/>
        </w:r>
        <w:r w:rsidR="00DB56B7">
          <w:rPr>
            <w:noProof/>
            <w:webHidden/>
          </w:rPr>
          <w:instrText xml:space="preserve"> PAGEREF _Toc81743842 \h </w:instrText>
        </w:r>
        <w:r w:rsidR="00DB56B7">
          <w:rPr>
            <w:noProof/>
            <w:webHidden/>
          </w:rPr>
        </w:r>
        <w:r w:rsidR="00DB56B7">
          <w:rPr>
            <w:noProof/>
            <w:webHidden/>
          </w:rPr>
          <w:fldChar w:fldCharType="separate"/>
        </w:r>
        <w:r w:rsidR="00DB56B7">
          <w:rPr>
            <w:noProof/>
            <w:webHidden/>
          </w:rPr>
          <w:t>69</w:t>
        </w:r>
        <w:r w:rsidR="00DB56B7">
          <w:rPr>
            <w:noProof/>
            <w:webHidden/>
          </w:rPr>
          <w:fldChar w:fldCharType="end"/>
        </w:r>
      </w:hyperlink>
    </w:p>
    <w:p w14:paraId="775F2013" w14:textId="177988A3" w:rsidR="00DB56B7" w:rsidRDefault="00BB1301">
      <w:pPr>
        <w:pStyle w:val="Obsah4"/>
        <w:tabs>
          <w:tab w:val="right" w:leader="dot" w:pos="9062"/>
        </w:tabs>
        <w:rPr>
          <w:rFonts w:asciiTheme="minorHAnsi" w:eastAsiaTheme="minorEastAsia" w:hAnsiTheme="minorHAnsi"/>
          <w:noProof/>
          <w:sz w:val="24"/>
          <w:szCs w:val="24"/>
          <w:lang w:val="cs-CZ" w:eastAsia="cs-CZ"/>
        </w:rPr>
      </w:pPr>
      <w:hyperlink w:anchor="_Toc81743843" w:history="1">
        <w:r w:rsidR="00DB56B7" w:rsidRPr="00981305">
          <w:rPr>
            <w:rStyle w:val="Hypertextovodkaz"/>
            <w:noProof/>
          </w:rPr>
          <w:t xml:space="preserve">Příloha 4 </w:t>
        </w:r>
        <w:r w:rsidR="00DB56B7" w:rsidRPr="00981305">
          <w:rPr>
            <w:rStyle w:val="Hypertextovodkaz"/>
            <w:rFonts w:cs="Times New Roman"/>
            <w:noProof/>
          </w:rPr>
          <w:t>Hlavní nákupní místa vybraných skupin potravin</w:t>
        </w:r>
        <w:r w:rsidR="00DB56B7">
          <w:rPr>
            <w:noProof/>
            <w:webHidden/>
          </w:rPr>
          <w:tab/>
        </w:r>
        <w:r w:rsidR="00DB56B7">
          <w:rPr>
            <w:noProof/>
            <w:webHidden/>
          </w:rPr>
          <w:fldChar w:fldCharType="begin"/>
        </w:r>
        <w:r w:rsidR="00DB56B7">
          <w:rPr>
            <w:noProof/>
            <w:webHidden/>
          </w:rPr>
          <w:instrText xml:space="preserve"> PAGEREF _Toc81743843 \h </w:instrText>
        </w:r>
        <w:r w:rsidR="00DB56B7">
          <w:rPr>
            <w:noProof/>
            <w:webHidden/>
          </w:rPr>
        </w:r>
        <w:r w:rsidR="00DB56B7">
          <w:rPr>
            <w:noProof/>
            <w:webHidden/>
          </w:rPr>
          <w:fldChar w:fldCharType="separate"/>
        </w:r>
        <w:r w:rsidR="00DB56B7">
          <w:rPr>
            <w:noProof/>
            <w:webHidden/>
          </w:rPr>
          <w:t>71</w:t>
        </w:r>
        <w:r w:rsidR="00DB56B7">
          <w:rPr>
            <w:noProof/>
            <w:webHidden/>
          </w:rPr>
          <w:fldChar w:fldCharType="end"/>
        </w:r>
      </w:hyperlink>
    </w:p>
    <w:p w14:paraId="175E7B81" w14:textId="3D8D8771" w:rsidR="00DB56B7" w:rsidRDefault="00BB1301">
      <w:pPr>
        <w:pStyle w:val="Obsah4"/>
        <w:tabs>
          <w:tab w:val="right" w:leader="dot" w:pos="9062"/>
        </w:tabs>
        <w:rPr>
          <w:rFonts w:asciiTheme="minorHAnsi" w:eastAsiaTheme="minorEastAsia" w:hAnsiTheme="minorHAnsi"/>
          <w:noProof/>
          <w:sz w:val="24"/>
          <w:szCs w:val="24"/>
          <w:lang w:val="cs-CZ" w:eastAsia="cs-CZ"/>
        </w:rPr>
      </w:pPr>
      <w:hyperlink w:anchor="_Toc81743844" w:history="1">
        <w:r w:rsidR="00DB56B7" w:rsidRPr="00981305">
          <w:rPr>
            <w:rStyle w:val="Hypertextovodkaz"/>
            <w:noProof/>
          </w:rPr>
          <w:t>Příloha 5 Porovnání CZV, CPV a SC v odvětví mléka, vepřového a drůbežího masa.</w:t>
        </w:r>
        <w:r w:rsidR="00DB56B7">
          <w:rPr>
            <w:noProof/>
            <w:webHidden/>
          </w:rPr>
          <w:tab/>
        </w:r>
        <w:r w:rsidR="00DB56B7">
          <w:rPr>
            <w:noProof/>
            <w:webHidden/>
          </w:rPr>
          <w:fldChar w:fldCharType="begin"/>
        </w:r>
        <w:r w:rsidR="00DB56B7">
          <w:rPr>
            <w:noProof/>
            <w:webHidden/>
          </w:rPr>
          <w:instrText xml:space="preserve"> PAGEREF _Toc81743844 \h </w:instrText>
        </w:r>
        <w:r w:rsidR="00DB56B7">
          <w:rPr>
            <w:noProof/>
            <w:webHidden/>
          </w:rPr>
        </w:r>
        <w:r w:rsidR="00DB56B7">
          <w:rPr>
            <w:noProof/>
            <w:webHidden/>
          </w:rPr>
          <w:fldChar w:fldCharType="separate"/>
        </w:r>
        <w:r w:rsidR="00DB56B7">
          <w:rPr>
            <w:noProof/>
            <w:webHidden/>
          </w:rPr>
          <w:t>73</w:t>
        </w:r>
        <w:r w:rsidR="00DB56B7">
          <w:rPr>
            <w:noProof/>
            <w:webHidden/>
          </w:rPr>
          <w:fldChar w:fldCharType="end"/>
        </w:r>
      </w:hyperlink>
    </w:p>
    <w:p w14:paraId="1EB4CE6B" w14:textId="35162039" w:rsidR="00DB56B7" w:rsidRDefault="00BB1301">
      <w:pPr>
        <w:pStyle w:val="Obsah4"/>
        <w:tabs>
          <w:tab w:val="right" w:leader="dot" w:pos="9062"/>
        </w:tabs>
        <w:rPr>
          <w:rFonts w:asciiTheme="minorHAnsi" w:eastAsiaTheme="minorEastAsia" w:hAnsiTheme="minorHAnsi"/>
          <w:noProof/>
          <w:sz w:val="24"/>
          <w:szCs w:val="24"/>
          <w:lang w:val="cs-CZ" w:eastAsia="cs-CZ"/>
        </w:rPr>
      </w:pPr>
      <w:hyperlink w:anchor="_Toc81743845" w:history="1">
        <w:r w:rsidR="00DB56B7" w:rsidRPr="00981305">
          <w:rPr>
            <w:rStyle w:val="Hypertextovodkaz"/>
            <w:noProof/>
          </w:rPr>
          <w:t>Příloha 6 Formáty prodeje výrobců s regionální značkou ARZ</w:t>
        </w:r>
        <w:r w:rsidR="00DB56B7">
          <w:rPr>
            <w:noProof/>
            <w:webHidden/>
          </w:rPr>
          <w:tab/>
        </w:r>
        <w:r w:rsidR="00DB56B7">
          <w:rPr>
            <w:noProof/>
            <w:webHidden/>
          </w:rPr>
          <w:fldChar w:fldCharType="begin"/>
        </w:r>
        <w:r w:rsidR="00DB56B7">
          <w:rPr>
            <w:noProof/>
            <w:webHidden/>
          </w:rPr>
          <w:instrText xml:space="preserve"> PAGEREF _Toc81743845 \h </w:instrText>
        </w:r>
        <w:r w:rsidR="00DB56B7">
          <w:rPr>
            <w:noProof/>
            <w:webHidden/>
          </w:rPr>
        </w:r>
        <w:r w:rsidR="00DB56B7">
          <w:rPr>
            <w:noProof/>
            <w:webHidden/>
          </w:rPr>
          <w:fldChar w:fldCharType="separate"/>
        </w:r>
        <w:r w:rsidR="00DB56B7">
          <w:rPr>
            <w:noProof/>
            <w:webHidden/>
          </w:rPr>
          <w:t>74</w:t>
        </w:r>
        <w:r w:rsidR="00DB56B7">
          <w:rPr>
            <w:noProof/>
            <w:webHidden/>
          </w:rPr>
          <w:fldChar w:fldCharType="end"/>
        </w:r>
      </w:hyperlink>
    </w:p>
    <w:p w14:paraId="174BD202" w14:textId="195FAE73" w:rsidR="00B25E86" w:rsidRDefault="00E57A20">
      <w:r>
        <w:rPr>
          <w:rFonts w:asciiTheme="minorHAnsi" w:hAnsiTheme="minorHAnsi"/>
          <w:b/>
          <w:bCs/>
          <w:caps/>
          <w:sz w:val="20"/>
          <w:szCs w:val="20"/>
        </w:rPr>
        <w:fldChar w:fldCharType="end"/>
      </w:r>
    </w:p>
    <w:p w14:paraId="295FB217" w14:textId="6F4D5E6E" w:rsidR="00AA3A5F" w:rsidRPr="00B25A22" w:rsidRDefault="00AA3A5F" w:rsidP="00E57A20">
      <w:pPr>
        <w:pStyle w:val="UZEINadpis1stbezsla"/>
      </w:pPr>
      <w:r w:rsidRPr="00B25A22">
        <w:br w:type="page"/>
      </w:r>
    </w:p>
    <w:p w14:paraId="3CA52C09" w14:textId="793B36BE" w:rsidR="00AA3A5F" w:rsidRPr="00B25A22" w:rsidRDefault="00AA3A5F" w:rsidP="00E032F8">
      <w:pPr>
        <w:pStyle w:val="Nadpis1"/>
      </w:pPr>
      <w:bookmarkStart w:id="13" w:name="_Toc12598426"/>
      <w:bookmarkStart w:id="14" w:name="_Toc80969601"/>
      <w:bookmarkStart w:id="15" w:name="_Toc81743382"/>
      <w:bookmarkStart w:id="16" w:name="_Toc81743829"/>
      <w:r w:rsidRPr="00B25A22">
        <w:lastRenderedPageBreak/>
        <w:t>Analýza stávajících/navrhovaných právních předpisů EK/ČR a pravděpodobné nastavení směrů a cílů SZP</w:t>
      </w:r>
      <w:bookmarkEnd w:id="13"/>
      <w:bookmarkEnd w:id="14"/>
      <w:bookmarkEnd w:id="15"/>
      <w:bookmarkEnd w:id="16"/>
    </w:p>
    <w:p w14:paraId="27971722" w14:textId="77777777" w:rsidR="00AA3A5F" w:rsidRPr="00B25A22" w:rsidRDefault="00AA3A5F" w:rsidP="00AA3A5F">
      <w:pPr>
        <w:rPr>
          <w:rFonts w:cs="Times New Roman"/>
          <w:lang w:val="cs-CZ"/>
        </w:rPr>
      </w:pPr>
    </w:p>
    <w:p w14:paraId="6A5F403A" w14:textId="77777777" w:rsidR="00AA3A5F" w:rsidRPr="00B25A22" w:rsidRDefault="00AA3A5F" w:rsidP="00D06A69">
      <w:pPr>
        <w:rPr>
          <w:rFonts w:cs="Times New Roman"/>
          <w:b/>
          <w:bCs/>
          <w:lang w:val="cs-CZ"/>
        </w:rPr>
      </w:pPr>
      <w:r w:rsidRPr="00B25A22">
        <w:rPr>
          <w:rFonts w:cs="Times New Roman"/>
          <w:b/>
          <w:bCs/>
          <w:lang w:val="cs-CZ"/>
        </w:rPr>
        <w:t>Dokumenty</w:t>
      </w:r>
    </w:p>
    <w:p w14:paraId="632FD8D8" w14:textId="77777777" w:rsidR="00AA3A5F" w:rsidRPr="00B25A22" w:rsidRDefault="00AA3A5F" w:rsidP="007431D6">
      <w:pPr>
        <w:pStyle w:val="UZEIOdrky"/>
        <w:rPr>
          <w:rFonts w:cs="Times New Roman"/>
        </w:rPr>
      </w:pPr>
      <w:r w:rsidRPr="00B25A22">
        <w:rPr>
          <w:rFonts w:cs="Times New Roman"/>
        </w:rPr>
        <w:t xml:space="preserve">Návrh nařízení Evropského parlamentu a Rady z 1. 6. 2018, </w:t>
      </w:r>
      <w:proofErr w:type="gramStart"/>
      <w:r w:rsidRPr="00B25A22">
        <w:rPr>
          <w:rFonts w:cs="Times New Roman"/>
        </w:rPr>
        <w:t>COM(</w:t>
      </w:r>
      <w:proofErr w:type="gramEnd"/>
      <w:r w:rsidRPr="00B25A22">
        <w:rPr>
          <w:rFonts w:cs="Times New Roman"/>
        </w:rPr>
        <w:t xml:space="preserve">2018) 392 </w:t>
      </w:r>
      <w:proofErr w:type="spellStart"/>
      <w:r w:rsidRPr="00B25A22">
        <w:rPr>
          <w:rFonts w:cs="Times New Roman"/>
        </w:rPr>
        <w:t>final</w:t>
      </w:r>
      <w:proofErr w:type="spellEnd"/>
      <w:r w:rsidRPr="00B25A22">
        <w:rPr>
          <w:rFonts w:cs="Times New Roman"/>
        </w:rPr>
        <w:t xml:space="preserve"> (dále „Nařízení“) ve znění dalších úprav</w:t>
      </w:r>
    </w:p>
    <w:p w14:paraId="3D9EC643" w14:textId="77777777" w:rsidR="00AA3A5F" w:rsidRPr="00B25A22" w:rsidRDefault="00AA3A5F" w:rsidP="007431D6">
      <w:pPr>
        <w:pStyle w:val="UZEIOdrky"/>
        <w:rPr>
          <w:rFonts w:cs="Times New Roman"/>
        </w:rPr>
      </w:pPr>
      <w:r w:rsidRPr="00B25A22">
        <w:rPr>
          <w:rFonts w:cs="Times New Roman"/>
        </w:rPr>
        <w:t>Nařízení Evropského parlamentu a Rady EU (EU) č. 1308/20013 ze dne 17. prosince 2013, kterým se stanoví společná organizace trhů se zemědělskými produkty, v platném znění</w:t>
      </w:r>
    </w:p>
    <w:p w14:paraId="0F28D27B" w14:textId="77777777" w:rsidR="00AA3A5F" w:rsidRPr="00B25A22" w:rsidRDefault="00AA3A5F" w:rsidP="007431D6">
      <w:pPr>
        <w:pStyle w:val="UZEIOdrky"/>
        <w:rPr>
          <w:rStyle w:val="h1a"/>
          <w:rFonts w:cs="Times New Roman"/>
          <w:sz w:val="22"/>
          <w:szCs w:val="22"/>
        </w:rPr>
      </w:pPr>
      <w:r w:rsidRPr="00B25A22">
        <w:rPr>
          <w:rFonts w:cs="Times New Roman"/>
        </w:rPr>
        <w:t xml:space="preserve">NV č. 282/2014 Sb. </w:t>
      </w:r>
      <w:r w:rsidRPr="00B25A22">
        <w:rPr>
          <w:rStyle w:val="h1a"/>
          <w:rFonts w:cs="Times New Roman"/>
          <w:sz w:val="22"/>
          <w:szCs w:val="22"/>
        </w:rPr>
        <w:t>o některých podmínkách k provádění společné organizace trhu v odvětví mléka a mléčných výrobků</w:t>
      </w:r>
    </w:p>
    <w:p w14:paraId="2C1F7FDE" w14:textId="77777777" w:rsidR="00AA3A5F" w:rsidRPr="00B25A22" w:rsidRDefault="00AA3A5F" w:rsidP="007431D6">
      <w:pPr>
        <w:pStyle w:val="UZEIOdrky"/>
        <w:rPr>
          <w:rFonts w:cs="Times New Roman"/>
        </w:rPr>
      </w:pPr>
      <w:r w:rsidRPr="00B25A22">
        <w:rPr>
          <w:rFonts w:cs="Times New Roman"/>
        </w:rPr>
        <w:t>Nařízení vlády č. 314/2016 Sb.</w:t>
      </w:r>
      <w:r w:rsidRPr="00B25A22">
        <w:rPr>
          <w:rFonts w:cs="Times New Roman"/>
          <w:i/>
          <w:iCs/>
        </w:rPr>
        <w:t xml:space="preserve"> </w:t>
      </w:r>
      <w:r w:rsidRPr="00B25A22">
        <w:rPr>
          <w:rFonts w:cs="Times New Roman"/>
          <w:iCs/>
        </w:rPr>
        <w:t>o uznávání organizací producentů a sdružení organizací producentů k provádění společné organizace trhu s vybranými zemědělskými produkty a o změně nařízení vlády č. 282/2014 Sb., o některých podmínkách k provádění společné organizace trhu v odvětví mléka a mléčných výrobků</w:t>
      </w:r>
      <w:r w:rsidRPr="00B25A22">
        <w:rPr>
          <w:rFonts w:cs="Times New Roman"/>
        </w:rPr>
        <w:t xml:space="preserve"> </w:t>
      </w:r>
    </w:p>
    <w:p w14:paraId="4F79308E" w14:textId="77777777" w:rsidR="00AA3A5F" w:rsidRPr="00B25A22" w:rsidRDefault="00AA3A5F" w:rsidP="007431D6">
      <w:pPr>
        <w:pStyle w:val="UZEIOdrky"/>
        <w:rPr>
          <w:rFonts w:cs="Times New Roman"/>
        </w:rPr>
      </w:pPr>
      <w:r w:rsidRPr="00B25A22">
        <w:rPr>
          <w:rFonts w:cs="Times New Roman"/>
        </w:rPr>
        <w:t>NV č. 318/2008 Sb. o provádění některých opatření společné organizace trhu s ovocem a zeleninou</w:t>
      </w:r>
    </w:p>
    <w:p w14:paraId="7748874E" w14:textId="77777777" w:rsidR="00AA3A5F" w:rsidRPr="00B25A22" w:rsidRDefault="00AA3A5F" w:rsidP="007431D6">
      <w:pPr>
        <w:pStyle w:val="UZEIOdrky"/>
        <w:rPr>
          <w:rFonts w:cs="Times New Roman"/>
        </w:rPr>
      </w:pPr>
      <w:r w:rsidRPr="00B25A22">
        <w:rPr>
          <w:rFonts w:cs="Times New Roman"/>
        </w:rPr>
        <w:t>Zákon č. 97/1996 Sb.</w:t>
      </w:r>
      <w:r w:rsidRPr="00B25A22">
        <w:rPr>
          <w:rFonts w:cs="Times New Roman"/>
          <w:i/>
          <w:iCs/>
        </w:rPr>
        <w:t xml:space="preserve"> o ochraně chmele</w:t>
      </w:r>
    </w:p>
    <w:p w14:paraId="347BC5BB" w14:textId="77777777" w:rsidR="00AA3A5F" w:rsidRPr="00B25A22" w:rsidRDefault="00AA3A5F" w:rsidP="007431D6">
      <w:pPr>
        <w:pStyle w:val="UZEIOdrky"/>
        <w:rPr>
          <w:rFonts w:cs="Times New Roman"/>
        </w:rPr>
      </w:pPr>
      <w:r w:rsidRPr="00B25A22">
        <w:rPr>
          <w:rFonts w:cs="Times New Roman"/>
        </w:rPr>
        <w:t>NÁVRH ZPRÁVY o návrhu směrnice Evropského parlamentu a Rady o nekalých obchodních praktikách mezi podniky v potravinovém řetězci (</w:t>
      </w:r>
      <w:proofErr w:type="gramStart"/>
      <w:r w:rsidRPr="00B25A22">
        <w:rPr>
          <w:rFonts w:cs="Times New Roman"/>
        </w:rPr>
        <w:t>COM(</w:t>
      </w:r>
      <w:proofErr w:type="gramEnd"/>
      <w:r w:rsidRPr="00B25A22">
        <w:rPr>
          <w:rFonts w:cs="Times New Roman"/>
        </w:rPr>
        <w:t>2018)0173 – C8-0139/2018 – 2018/0082(COD))  Výbor pro zemědělství a rozvoj venkova</w:t>
      </w:r>
      <w:r w:rsidRPr="00B25A22" w:rsidDel="003B4EBC">
        <w:rPr>
          <w:rFonts w:cs="Times New Roman"/>
        </w:rPr>
        <w:t xml:space="preserve"> </w:t>
      </w:r>
      <w:r w:rsidRPr="00B25A22">
        <w:rPr>
          <w:rFonts w:cs="Times New Roman"/>
        </w:rPr>
        <w:t>(Legislativa v přípravě)</w:t>
      </w:r>
    </w:p>
    <w:p w14:paraId="0B5D5D4B" w14:textId="77777777" w:rsidR="00AA3A5F" w:rsidRPr="00B25A22" w:rsidRDefault="00AA3A5F" w:rsidP="007431D6">
      <w:pPr>
        <w:pStyle w:val="UZEIOdrky"/>
        <w:rPr>
          <w:rFonts w:cs="Times New Roman"/>
        </w:rPr>
      </w:pPr>
      <w:r w:rsidRPr="00B25A22">
        <w:rPr>
          <w:rFonts w:cs="Times New Roman"/>
        </w:rPr>
        <w:t>Zákon č. 395/2009 Sb. - Zákon o významné tržní síle při prodeji zemědělských a potravinářských produktů a jejím zneužití</w:t>
      </w:r>
    </w:p>
    <w:p w14:paraId="17D0CF3B" w14:textId="77777777" w:rsidR="00AA3A5F" w:rsidRPr="00B25A22" w:rsidRDefault="00AA3A5F" w:rsidP="007431D6">
      <w:pPr>
        <w:pStyle w:val="UZEIOdrky"/>
        <w:rPr>
          <w:rFonts w:cs="Times New Roman"/>
        </w:rPr>
      </w:pPr>
      <w:r w:rsidRPr="00B25A22">
        <w:rPr>
          <w:rFonts w:cs="Times New Roman"/>
        </w:rPr>
        <w:t>Zákon č. 50/2016 Sb. - Zákon, kterým se mění zákon č. 395/2009 Sb., o významné tržní síle při prodeji zemědělských a potravinářských produktů a jejím zneužití</w:t>
      </w:r>
    </w:p>
    <w:p w14:paraId="40AABAC3" w14:textId="77777777" w:rsidR="00AA3A5F" w:rsidRPr="00B25A22" w:rsidRDefault="00AA3A5F" w:rsidP="007431D6">
      <w:pPr>
        <w:pStyle w:val="UZEINormaln"/>
        <w:rPr>
          <w:rFonts w:cs="Times New Roman"/>
        </w:rPr>
      </w:pPr>
      <w:r w:rsidRPr="00B25A22">
        <w:rPr>
          <w:rFonts w:cs="Times New Roman"/>
        </w:rPr>
        <w:t xml:space="preserve">Problematiku přímo upravuje Nařízení Evropského parlamentu a Rady EU (EU) č. 1308/20013 ze dne 17. prosince 2013, kterým se stanoví společná organizace trhů se zemědělskými produkty. Nařízení obsahuje zejména nástroje k řízení společného trhu EU v situacích závažného nesouladu poptávky s nabídkou (veřejné intervence a podpory soukromého skladování pro vybraná odvětví); režimy podpory vybraných odvětví na základě operačních programů organizací producentů: (ovoce a zelenina; víno; včelařství; chmel); zlepšení přístupu k potravinám (program Ovoce, zelenina a mléko do škol), pravidla pro uznané organizace producentů a pravomoc přijímat výjimečná opatření na podporu trhu v období závažných výkyvů trhu. Na národní úrovni navazuje NV č. 282/2014 Sb., </w:t>
      </w:r>
      <w:r w:rsidRPr="00B25A22">
        <w:rPr>
          <w:rStyle w:val="h1a"/>
          <w:rFonts w:cs="Times New Roman"/>
          <w:sz w:val="22"/>
        </w:rPr>
        <w:t xml:space="preserve">o některých podmínkách k provádění společné organizace trhu v odvětví mléka a mléčných výrobků </w:t>
      </w:r>
      <w:r w:rsidRPr="00B25A22">
        <w:rPr>
          <w:rFonts w:cs="Times New Roman"/>
        </w:rPr>
        <w:t>a NV č. 318/2008 Sb., o provádění některých opatření společné organizace trhu s ovocem a zeleninou.</w:t>
      </w:r>
    </w:p>
    <w:p w14:paraId="70CBAABF" w14:textId="4CBE861E" w:rsidR="00AA3A5F" w:rsidRPr="00B25A22" w:rsidRDefault="00AA3A5F" w:rsidP="007431D6">
      <w:pPr>
        <w:pStyle w:val="UZEINormaln"/>
        <w:rPr>
          <w:rFonts w:cs="Times New Roman"/>
        </w:rPr>
      </w:pPr>
      <w:r w:rsidRPr="00B25A22">
        <w:rPr>
          <w:rFonts w:cs="Times New Roman"/>
        </w:rPr>
        <w:t xml:space="preserve">Část stávajících nástrojů SOT má nárazový charakter a řeší výjimečné situace na trhu (tržní intervence, pravomoc přijímat výjimečná opatření), zatímco jiné nástroje mají systematický charakter (podpory na základě operačních programů, podpory uznaným organizacím producentů nebo zlepšení přístupu k potravinám např. školní programy). Na zlepšení pozice zemědělců v hodnotovém řetězci míří zejména zmíněné systematické nástroje. Současná pravidla v Nařízení Evropského parlamentu a Rady EU (EU) č. 1308/20013 ze dne 17. prosince 2013 umožňují finanční podporu prostřednictvím operačních programů vybraným odvětvím, a to v odvětví ovoce a zeleniny, vinařství, včelařství, oliv a chmele. V dalších sektorech upravuje citované nařízení doporučené a přípustné mechanismy činnosti a působnosti </w:t>
      </w:r>
      <w:r w:rsidRPr="00B25A22">
        <w:rPr>
          <w:rFonts w:cs="Times New Roman"/>
        </w:rPr>
        <w:lastRenderedPageBreak/>
        <w:t>organizací producentů, neumožňuje však jejich finanční podporu. Navrhované „Nařízení“ rozšiřuje možnost finančních odvětvových podpor na základě operačních programů na další sektory: obiloviny, rýže, cukr, sušená krmiva, osiva, chmel, olivový olej, len a konopí, banány, dřeviny, hovězí maso, mléko, vepřové maso, skopové maso, vejce, drůbeží maso a bourec morušový. Ke „Zlepšení postavení zemědělců v hodnotovém řetězci“ je možno z navrhovaného „Nařízení“ rovněž využít intervence k podpoře krátkých dodavatelských řetězců</w:t>
      </w:r>
      <w:r w:rsidR="004F1CE2">
        <w:rPr>
          <w:rFonts w:cs="Times New Roman"/>
        </w:rPr>
        <w:t>.</w:t>
      </w:r>
      <w:r w:rsidRPr="00B25A22">
        <w:rPr>
          <w:rFonts w:cs="Times New Roman"/>
        </w:rPr>
        <w:t xml:space="preserve"> </w:t>
      </w:r>
    </w:p>
    <w:p w14:paraId="50624E68" w14:textId="77777777" w:rsidR="00AA3A5F" w:rsidRPr="00B25A22" w:rsidRDefault="00AA3A5F" w:rsidP="007431D6">
      <w:pPr>
        <w:pStyle w:val="UZEINormaln"/>
        <w:rPr>
          <w:rFonts w:cs="Times New Roman"/>
          <w:b/>
          <w:bCs/>
        </w:rPr>
      </w:pPr>
      <w:r w:rsidRPr="00B25A22">
        <w:rPr>
          <w:rFonts w:cs="Times New Roman"/>
          <w:b/>
          <w:bCs/>
        </w:rPr>
        <w:t>Indikátory za oblast zlepšení pozice zemědělců v hodnotovém řetězci</w:t>
      </w:r>
    </w:p>
    <w:p w14:paraId="6666D0B5" w14:textId="77F82709" w:rsidR="00AA3A5F" w:rsidRPr="00B25A22" w:rsidRDefault="00AA3A5F" w:rsidP="007431D6">
      <w:pPr>
        <w:pStyle w:val="UZEITaB"/>
        <w:rPr>
          <w:rFonts w:eastAsia="Calibri" w:cs="Times New Roman"/>
          <w:noProof/>
          <w:u w:val="single"/>
        </w:rPr>
      </w:pPr>
      <w:bookmarkStart w:id="17" w:name="_Toc81743437"/>
      <w:r w:rsidRPr="00B25A22">
        <w:rPr>
          <w:rFonts w:cs="Times New Roman"/>
          <w:noProof/>
        </w:rPr>
        <w:t>Ukazatele dopadu a ukazatele výsledku</w:t>
      </w:r>
      <w:bookmarkEnd w:id="17"/>
    </w:p>
    <w:tbl>
      <w:tblPr>
        <w:tblStyle w:val="TableGridLight1"/>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024"/>
        <w:gridCol w:w="3199"/>
        <w:gridCol w:w="3810"/>
        <w:gridCol w:w="9"/>
      </w:tblGrid>
      <w:tr w:rsidR="00AA3A5F" w:rsidRPr="00B25A22" w14:paraId="5EBEADB7" w14:textId="77777777" w:rsidTr="007A68D5">
        <w:trPr>
          <w:trHeight w:val="357"/>
        </w:trPr>
        <w:tc>
          <w:tcPr>
            <w:tcW w:w="2888" w:type="pct"/>
            <w:gridSpan w:val="2"/>
            <w:shd w:val="clear" w:color="auto" w:fill="auto"/>
            <w:noWrap/>
            <w:vAlign w:val="center"/>
          </w:tcPr>
          <w:p w14:paraId="1161A34C" w14:textId="77777777" w:rsidR="00AA3A5F" w:rsidRPr="00B25A22" w:rsidRDefault="00AA3A5F" w:rsidP="007A68D5">
            <w:pPr>
              <w:jc w:val="center"/>
              <w:rPr>
                <w:rFonts w:cs="Times New Roman"/>
                <w:b/>
                <w:bCs/>
                <w:noProof/>
                <w:color w:val="000000"/>
                <w:sz w:val="20"/>
                <w:szCs w:val="20"/>
              </w:rPr>
            </w:pPr>
            <w:r w:rsidRPr="00B25A22">
              <w:rPr>
                <w:rFonts w:cs="Times New Roman"/>
                <w:b/>
                <w:noProof/>
                <w:color w:val="000000"/>
                <w:sz w:val="20"/>
                <w:szCs w:val="20"/>
              </w:rPr>
              <w:t>Posouzení výkonnosti politiky (víceleté) – DOPAD</w:t>
            </w:r>
          </w:p>
        </w:tc>
        <w:tc>
          <w:tcPr>
            <w:tcW w:w="2112" w:type="pct"/>
            <w:gridSpan w:val="2"/>
            <w:shd w:val="clear" w:color="auto" w:fill="auto"/>
            <w:vAlign w:val="center"/>
          </w:tcPr>
          <w:p w14:paraId="69C25188" w14:textId="77777777" w:rsidR="00AA3A5F" w:rsidRPr="00B25A22" w:rsidRDefault="00AA3A5F" w:rsidP="007A68D5">
            <w:pPr>
              <w:jc w:val="center"/>
              <w:rPr>
                <w:rFonts w:cs="Times New Roman"/>
                <w:b/>
                <w:bCs/>
                <w:noProof/>
                <w:color w:val="000000"/>
                <w:sz w:val="20"/>
                <w:szCs w:val="20"/>
              </w:rPr>
            </w:pPr>
            <w:r w:rsidRPr="00B25A22">
              <w:rPr>
                <w:rFonts w:cs="Times New Roman"/>
                <w:b/>
                <w:noProof/>
                <w:color w:val="000000"/>
                <w:sz w:val="20"/>
                <w:szCs w:val="20"/>
              </w:rPr>
              <w:t>Výroční přezkum výkonnosti – VÝSLEDEK</w:t>
            </w:r>
          </w:p>
        </w:tc>
      </w:tr>
      <w:tr w:rsidR="00AA3A5F" w:rsidRPr="000703B9" w14:paraId="16670F80" w14:textId="77777777" w:rsidTr="007A68D5">
        <w:trPr>
          <w:gridAfter w:val="1"/>
          <w:wAfter w:w="5" w:type="pct"/>
          <w:cantSplit/>
          <w:trHeight w:val="391"/>
          <w:tblHeader/>
        </w:trPr>
        <w:tc>
          <w:tcPr>
            <w:tcW w:w="1119" w:type="pct"/>
            <w:shd w:val="clear" w:color="auto" w:fill="auto"/>
            <w:noWrap/>
          </w:tcPr>
          <w:p w14:paraId="541B211E" w14:textId="77777777" w:rsidR="00AA3A5F" w:rsidRPr="00B25A22" w:rsidRDefault="00AA3A5F" w:rsidP="007A68D5">
            <w:pPr>
              <w:spacing w:line="276" w:lineRule="auto"/>
              <w:ind w:left="64" w:hanging="28"/>
              <w:jc w:val="center"/>
              <w:rPr>
                <w:rFonts w:cs="Times New Roman"/>
                <w:b/>
                <w:bCs/>
                <w:noProof/>
                <w:sz w:val="20"/>
                <w:szCs w:val="20"/>
              </w:rPr>
            </w:pPr>
            <w:r w:rsidRPr="00B25A22">
              <w:rPr>
                <w:rFonts w:cs="Times New Roman"/>
                <w:noProof/>
                <w:sz w:val="20"/>
                <w:szCs w:val="20"/>
              </w:rPr>
              <w:br w:type="page"/>
            </w:r>
            <w:r w:rsidRPr="00B25A22">
              <w:rPr>
                <w:rFonts w:cs="Times New Roman"/>
                <w:b/>
                <w:noProof/>
                <w:sz w:val="20"/>
                <w:szCs w:val="20"/>
              </w:rPr>
              <w:t>Specifické cíle EU</w:t>
            </w:r>
          </w:p>
        </w:tc>
        <w:tc>
          <w:tcPr>
            <w:tcW w:w="1769" w:type="pct"/>
            <w:shd w:val="clear" w:color="auto" w:fill="auto"/>
            <w:noWrap/>
          </w:tcPr>
          <w:p w14:paraId="2FD25B5C" w14:textId="77777777" w:rsidR="00AA3A5F" w:rsidRPr="00B25A22" w:rsidRDefault="00AA3A5F" w:rsidP="007A68D5">
            <w:pPr>
              <w:spacing w:line="276" w:lineRule="auto"/>
              <w:ind w:left="64"/>
              <w:rPr>
                <w:rFonts w:cs="Times New Roman"/>
                <w:b/>
                <w:bCs/>
                <w:noProof/>
                <w:sz w:val="20"/>
                <w:szCs w:val="20"/>
              </w:rPr>
            </w:pPr>
            <w:r w:rsidRPr="00B25A22">
              <w:rPr>
                <w:rFonts w:cs="Times New Roman"/>
                <w:b/>
                <w:noProof/>
                <w:sz w:val="20"/>
                <w:szCs w:val="20"/>
              </w:rPr>
              <w:t>Ukazatele dopadu</w:t>
            </w:r>
          </w:p>
        </w:tc>
        <w:tc>
          <w:tcPr>
            <w:tcW w:w="2107" w:type="pct"/>
            <w:shd w:val="clear" w:color="auto" w:fill="auto"/>
          </w:tcPr>
          <w:p w14:paraId="34079BA2" w14:textId="77777777" w:rsidR="00AA3A5F" w:rsidRPr="00B25A22" w:rsidRDefault="00AA3A5F" w:rsidP="007A68D5">
            <w:pPr>
              <w:spacing w:line="276" w:lineRule="auto"/>
              <w:ind w:left="64"/>
              <w:jc w:val="center"/>
              <w:rPr>
                <w:rFonts w:cs="Times New Roman"/>
                <w:b/>
                <w:bCs/>
                <w:noProof/>
                <w:sz w:val="20"/>
                <w:szCs w:val="20"/>
              </w:rPr>
            </w:pPr>
            <w:r w:rsidRPr="00B25A22">
              <w:rPr>
                <w:rFonts w:cs="Times New Roman"/>
                <w:b/>
                <w:noProof/>
                <w:sz w:val="20"/>
                <w:szCs w:val="20"/>
              </w:rPr>
              <w:t>Ukazatele výsledku</w:t>
            </w:r>
          </w:p>
          <w:p w14:paraId="22EA6D12" w14:textId="77777777" w:rsidR="00AA3A5F" w:rsidRPr="00B25A22" w:rsidRDefault="00AA3A5F" w:rsidP="007A68D5">
            <w:pPr>
              <w:spacing w:line="276" w:lineRule="auto"/>
              <w:ind w:left="64" w:hanging="64"/>
              <w:jc w:val="center"/>
              <w:rPr>
                <w:rFonts w:cs="Times New Roman"/>
                <w:bCs/>
                <w:noProof/>
                <w:sz w:val="20"/>
                <w:szCs w:val="20"/>
              </w:rPr>
            </w:pPr>
            <w:r w:rsidRPr="00B25A22">
              <w:rPr>
                <w:rFonts w:cs="Times New Roman"/>
                <w:noProof/>
                <w:sz w:val="20"/>
                <w:szCs w:val="20"/>
              </w:rPr>
              <w:t>(pouze na základě intervencí podporovaných v rámci SZP)</w:t>
            </w:r>
          </w:p>
        </w:tc>
      </w:tr>
      <w:tr w:rsidR="00AA3A5F" w:rsidRPr="000703B9" w14:paraId="4FBE3224" w14:textId="77777777" w:rsidTr="007A68D5">
        <w:trPr>
          <w:gridAfter w:val="1"/>
          <w:wAfter w:w="5" w:type="pct"/>
          <w:trHeight w:val="935"/>
        </w:trPr>
        <w:tc>
          <w:tcPr>
            <w:tcW w:w="1119" w:type="pct"/>
            <w:vMerge w:val="restart"/>
            <w:vAlign w:val="center"/>
            <w:hideMark/>
          </w:tcPr>
          <w:p w14:paraId="0ACA71AD" w14:textId="77777777" w:rsidR="00AA3A5F" w:rsidRPr="00B25A22" w:rsidRDefault="00AA3A5F" w:rsidP="007A68D5">
            <w:pPr>
              <w:spacing w:line="276" w:lineRule="auto"/>
              <w:rPr>
                <w:rFonts w:cs="Times New Roman"/>
                <w:b/>
                <w:bCs/>
                <w:noProof/>
                <w:color w:val="000000"/>
                <w:sz w:val="20"/>
                <w:szCs w:val="20"/>
              </w:rPr>
            </w:pPr>
            <w:r w:rsidRPr="00B25A22">
              <w:rPr>
                <w:rFonts w:cs="Times New Roman"/>
                <w:b/>
                <w:noProof/>
                <w:color w:val="000000"/>
                <w:sz w:val="20"/>
                <w:szCs w:val="20"/>
              </w:rPr>
              <w:t>Zlepšovat postavení zemědělců v hodnotovém řetězci</w:t>
            </w:r>
          </w:p>
        </w:tc>
        <w:tc>
          <w:tcPr>
            <w:tcW w:w="1769" w:type="pct"/>
            <w:hideMark/>
          </w:tcPr>
          <w:p w14:paraId="1377BAF7" w14:textId="77777777" w:rsidR="00AA3A5F" w:rsidRPr="00B25A22" w:rsidRDefault="00AA3A5F" w:rsidP="007A68D5">
            <w:pPr>
              <w:spacing w:line="276" w:lineRule="auto"/>
              <w:ind w:hanging="17"/>
              <w:rPr>
                <w:rFonts w:cs="Times New Roman"/>
                <w:noProof/>
                <w:sz w:val="20"/>
                <w:szCs w:val="20"/>
              </w:rPr>
            </w:pPr>
            <w:r w:rsidRPr="00B25A22">
              <w:rPr>
                <w:rFonts w:cs="Times New Roman"/>
                <w:b/>
                <w:noProof/>
                <w:sz w:val="20"/>
                <w:szCs w:val="20"/>
              </w:rPr>
              <w:t>I.8</w:t>
            </w:r>
            <w:r w:rsidRPr="00B25A22">
              <w:rPr>
                <w:rFonts w:cs="Times New Roman"/>
                <w:noProof/>
                <w:sz w:val="20"/>
                <w:szCs w:val="20"/>
              </w:rPr>
              <w:t xml:space="preserve"> </w:t>
            </w:r>
            <w:r w:rsidRPr="00B25A22">
              <w:rPr>
                <w:rFonts w:cs="Times New Roman"/>
                <w:b/>
                <w:noProof/>
                <w:sz w:val="20"/>
                <w:szCs w:val="20"/>
              </w:rPr>
              <w:t>Zlepšovat postavení zemědělců v rámci potravinového řetězce</w:t>
            </w:r>
            <w:r w:rsidRPr="00B25A22">
              <w:rPr>
                <w:rFonts w:cs="Times New Roman"/>
                <w:noProof/>
                <w:sz w:val="20"/>
                <w:szCs w:val="20"/>
              </w:rPr>
              <w:t>: přidaná hodnota pro prvovýrobce v rámci potravinového řetězce</w:t>
            </w:r>
          </w:p>
        </w:tc>
        <w:tc>
          <w:tcPr>
            <w:tcW w:w="2107" w:type="pct"/>
          </w:tcPr>
          <w:p w14:paraId="734C4349" w14:textId="77777777" w:rsidR="00AA3A5F" w:rsidRPr="00B25A22" w:rsidRDefault="00AA3A5F" w:rsidP="007A68D5">
            <w:pPr>
              <w:spacing w:line="276" w:lineRule="auto"/>
              <w:rPr>
                <w:rFonts w:cs="Times New Roman"/>
                <w:b/>
                <w:bCs/>
                <w:noProof/>
                <w:sz w:val="20"/>
                <w:szCs w:val="20"/>
              </w:rPr>
            </w:pPr>
            <w:r w:rsidRPr="00B25A22">
              <w:rPr>
                <w:rFonts w:cs="Times New Roman"/>
                <w:b/>
                <w:noProof/>
                <w:sz w:val="20"/>
                <w:szCs w:val="20"/>
              </w:rPr>
              <w:t xml:space="preserve">R.10 Lepší organizace dodavatelského řetězce: </w:t>
            </w:r>
            <w:r w:rsidRPr="00B25A22">
              <w:rPr>
                <w:rFonts w:cs="Times New Roman"/>
                <w:noProof/>
                <w:sz w:val="20"/>
                <w:szCs w:val="20"/>
              </w:rPr>
              <w:t>podíl zemědělců účastnících se podporovaných seskupení producentů, organizací producentů, místních trhů, krátkých dodavatelských řetězců a režimů jakosti</w:t>
            </w:r>
          </w:p>
        </w:tc>
      </w:tr>
      <w:tr w:rsidR="00AA3A5F" w:rsidRPr="000703B9" w14:paraId="038251BE" w14:textId="77777777" w:rsidTr="007A68D5">
        <w:trPr>
          <w:gridAfter w:val="1"/>
          <w:wAfter w:w="5" w:type="pct"/>
          <w:trHeight w:val="393"/>
        </w:trPr>
        <w:tc>
          <w:tcPr>
            <w:tcW w:w="1119" w:type="pct"/>
            <w:vMerge/>
          </w:tcPr>
          <w:p w14:paraId="4E967B33" w14:textId="77777777" w:rsidR="00AA3A5F" w:rsidRPr="00B25A22" w:rsidRDefault="00AA3A5F" w:rsidP="007A68D5">
            <w:pPr>
              <w:spacing w:line="276" w:lineRule="auto"/>
              <w:rPr>
                <w:rFonts w:cs="Times New Roman"/>
                <w:b/>
                <w:bCs/>
                <w:noProof/>
                <w:color w:val="000000"/>
                <w:sz w:val="20"/>
                <w:szCs w:val="20"/>
              </w:rPr>
            </w:pPr>
          </w:p>
        </w:tc>
        <w:tc>
          <w:tcPr>
            <w:tcW w:w="1769" w:type="pct"/>
          </w:tcPr>
          <w:p w14:paraId="7E01317C" w14:textId="77777777" w:rsidR="00AA3A5F" w:rsidRPr="00B25A22" w:rsidRDefault="00AA3A5F" w:rsidP="007A68D5">
            <w:pPr>
              <w:spacing w:line="276" w:lineRule="auto"/>
              <w:rPr>
                <w:rFonts w:cs="Times New Roman"/>
                <w:b/>
                <w:noProof/>
                <w:sz w:val="20"/>
                <w:szCs w:val="20"/>
              </w:rPr>
            </w:pPr>
          </w:p>
        </w:tc>
        <w:tc>
          <w:tcPr>
            <w:tcW w:w="2107" w:type="pct"/>
          </w:tcPr>
          <w:p w14:paraId="0ED459B6" w14:textId="77777777" w:rsidR="00AA3A5F" w:rsidRPr="00B25A22" w:rsidRDefault="00AA3A5F" w:rsidP="007A68D5">
            <w:pPr>
              <w:spacing w:line="276" w:lineRule="auto"/>
              <w:rPr>
                <w:rFonts w:cs="Times New Roman"/>
                <w:noProof/>
                <w:sz w:val="20"/>
                <w:szCs w:val="20"/>
              </w:rPr>
            </w:pPr>
            <w:r w:rsidRPr="00B25A22">
              <w:rPr>
                <w:rFonts w:cs="Times New Roman"/>
                <w:b/>
                <w:noProof/>
                <w:sz w:val="20"/>
                <w:szCs w:val="20"/>
              </w:rPr>
              <w:t>R.11</w:t>
            </w:r>
            <w:r w:rsidRPr="00B25A22">
              <w:rPr>
                <w:rFonts w:cs="Times New Roman"/>
                <w:noProof/>
                <w:sz w:val="20"/>
                <w:szCs w:val="20"/>
              </w:rPr>
              <w:t xml:space="preserve"> </w:t>
            </w:r>
            <w:r w:rsidRPr="00B25A22">
              <w:rPr>
                <w:rFonts w:cs="Times New Roman"/>
                <w:b/>
                <w:noProof/>
                <w:sz w:val="20"/>
                <w:szCs w:val="20"/>
              </w:rPr>
              <w:t xml:space="preserve">Koncentrace nabídky: </w:t>
            </w:r>
            <w:r w:rsidRPr="00B25A22">
              <w:rPr>
                <w:rFonts w:cs="Times New Roman"/>
                <w:noProof/>
                <w:sz w:val="20"/>
                <w:szCs w:val="20"/>
              </w:rPr>
              <w:t>podíl hodnoty produkce uváděné na trh organizacemi producentů s operačními programy</w:t>
            </w:r>
          </w:p>
        </w:tc>
      </w:tr>
    </w:tbl>
    <w:p w14:paraId="3986A976" w14:textId="77777777" w:rsidR="00AA3A5F" w:rsidRPr="00B25A22" w:rsidRDefault="00AA3A5F" w:rsidP="007431D6">
      <w:pPr>
        <w:pStyle w:val="UZEIZdroj"/>
      </w:pPr>
      <w:r w:rsidRPr="00B25A22">
        <w:t>Pramen: návrh „Nařízení“</w:t>
      </w:r>
    </w:p>
    <w:p w14:paraId="7E1FD99F" w14:textId="385C4960" w:rsidR="00AA3A5F" w:rsidRPr="00B25A22" w:rsidRDefault="00AA3A5F" w:rsidP="00C01E83">
      <w:pPr>
        <w:pStyle w:val="UZEITaB"/>
        <w:rPr>
          <w:rFonts w:cs="Times New Roman"/>
        </w:rPr>
      </w:pPr>
      <w:bookmarkStart w:id="18" w:name="_Toc81743438"/>
      <w:r w:rsidRPr="00B25A22">
        <w:rPr>
          <w:rFonts w:cs="Times New Roman"/>
        </w:rPr>
        <w:t>Ukazatele výstupu</w:t>
      </w:r>
      <w:bookmarkEnd w:id="18"/>
      <w:r w:rsidRPr="00B25A22">
        <w:rPr>
          <w:rFonts w:cs="Times New Roman"/>
        </w:rPr>
        <w:t xml:space="preserve"> </w:t>
      </w:r>
    </w:p>
    <w:tbl>
      <w:tblPr>
        <w:tblStyle w:val="TableGridLight1"/>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292"/>
        <w:gridCol w:w="16"/>
        <w:gridCol w:w="6734"/>
      </w:tblGrid>
      <w:tr w:rsidR="00AA3A5F" w:rsidRPr="00B25A22" w14:paraId="32D31189" w14:textId="77777777" w:rsidTr="007A68D5">
        <w:trPr>
          <w:cantSplit/>
          <w:trHeight w:val="404"/>
          <w:tblHeader/>
        </w:trPr>
        <w:tc>
          <w:tcPr>
            <w:tcW w:w="1267" w:type="pct"/>
            <w:shd w:val="clear" w:color="auto" w:fill="auto"/>
          </w:tcPr>
          <w:p w14:paraId="26ECAD16" w14:textId="77777777" w:rsidR="00AA3A5F" w:rsidRPr="00B25A22" w:rsidRDefault="00AA3A5F" w:rsidP="007A68D5">
            <w:pPr>
              <w:ind w:hanging="106"/>
              <w:jc w:val="center"/>
              <w:rPr>
                <w:rFonts w:cs="Times New Roman"/>
                <w:b/>
                <w:bCs/>
                <w:noProof/>
                <w:sz w:val="20"/>
                <w:szCs w:val="20"/>
              </w:rPr>
            </w:pPr>
            <w:r w:rsidRPr="00B25A22">
              <w:rPr>
                <w:rFonts w:cs="Times New Roman"/>
                <w:b/>
                <w:noProof/>
                <w:sz w:val="20"/>
                <w:szCs w:val="20"/>
              </w:rPr>
              <w:t>Obecný typ intervence</w:t>
            </w:r>
          </w:p>
        </w:tc>
        <w:tc>
          <w:tcPr>
            <w:tcW w:w="3733" w:type="pct"/>
            <w:gridSpan w:val="2"/>
            <w:shd w:val="clear" w:color="auto" w:fill="auto"/>
          </w:tcPr>
          <w:p w14:paraId="60B8F670" w14:textId="77777777" w:rsidR="00AA3A5F" w:rsidRPr="00B25A22" w:rsidRDefault="00AA3A5F" w:rsidP="007A68D5">
            <w:pPr>
              <w:jc w:val="center"/>
              <w:rPr>
                <w:rFonts w:cs="Times New Roman"/>
                <w:b/>
                <w:bCs/>
                <w:noProof/>
                <w:sz w:val="20"/>
                <w:szCs w:val="20"/>
              </w:rPr>
            </w:pPr>
            <w:r w:rsidRPr="00B25A22">
              <w:rPr>
                <w:rFonts w:cs="Times New Roman"/>
                <w:b/>
                <w:noProof/>
                <w:sz w:val="20"/>
                <w:szCs w:val="20"/>
              </w:rPr>
              <w:t>Ukazatele výstupu</w:t>
            </w:r>
            <w:r w:rsidRPr="00B25A22">
              <w:rPr>
                <w:rFonts w:cs="Times New Roman"/>
                <w:noProof/>
                <w:sz w:val="20"/>
                <w:szCs w:val="20"/>
              </w:rPr>
              <w:t xml:space="preserve"> (podle intervence)</w:t>
            </w:r>
          </w:p>
        </w:tc>
      </w:tr>
      <w:tr w:rsidR="00AA3A5F" w:rsidRPr="000703B9" w14:paraId="60CD06AC" w14:textId="77777777" w:rsidTr="00C01E83">
        <w:trPr>
          <w:cantSplit/>
          <w:trHeight w:val="531"/>
        </w:trPr>
        <w:tc>
          <w:tcPr>
            <w:tcW w:w="1267" w:type="pct"/>
            <w:shd w:val="clear" w:color="auto" w:fill="auto"/>
          </w:tcPr>
          <w:p w14:paraId="66548F5B" w14:textId="77777777" w:rsidR="00AA3A5F" w:rsidRPr="00B25A22" w:rsidRDefault="00AA3A5F" w:rsidP="007A68D5">
            <w:pPr>
              <w:ind w:firstLine="41"/>
              <w:rPr>
                <w:rFonts w:cs="Times New Roman"/>
                <w:b/>
                <w:bCs/>
                <w:noProof/>
                <w:color w:val="000000"/>
                <w:sz w:val="20"/>
                <w:szCs w:val="20"/>
              </w:rPr>
            </w:pPr>
            <w:r w:rsidRPr="00B25A22">
              <w:rPr>
                <w:rFonts w:cs="Times New Roman"/>
                <w:b/>
                <w:noProof/>
                <w:color w:val="000000"/>
                <w:sz w:val="20"/>
                <w:szCs w:val="20"/>
              </w:rPr>
              <w:t>Spolupráce</w:t>
            </w:r>
          </w:p>
        </w:tc>
        <w:tc>
          <w:tcPr>
            <w:tcW w:w="3733" w:type="pct"/>
            <w:gridSpan w:val="2"/>
            <w:shd w:val="clear" w:color="auto" w:fill="auto"/>
          </w:tcPr>
          <w:p w14:paraId="550C870D" w14:textId="77777777" w:rsidR="00AA3A5F" w:rsidRPr="00B25A22" w:rsidRDefault="00AA3A5F" w:rsidP="007A68D5">
            <w:pPr>
              <w:ind w:left="550" w:firstLine="17"/>
              <w:rPr>
                <w:rFonts w:cs="Times New Roman"/>
                <w:noProof/>
                <w:sz w:val="20"/>
                <w:szCs w:val="20"/>
              </w:rPr>
            </w:pPr>
            <w:r w:rsidRPr="00B25A22">
              <w:rPr>
                <w:rFonts w:cs="Times New Roman"/>
                <w:b/>
                <w:noProof/>
                <w:sz w:val="20"/>
                <w:szCs w:val="20"/>
              </w:rPr>
              <w:t>O.24</w:t>
            </w:r>
            <w:r w:rsidRPr="00B25A22">
              <w:rPr>
                <w:rFonts w:cs="Times New Roman"/>
                <w:noProof/>
                <w:sz w:val="20"/>
                <w:szCs w:val="20"/>
              </w:rPr>
              <w:t xml:space="preserve"> Počet podporovaných seskupení/organizací producentů</w:t>
            </w:r>
          </w:p>
          <w:p w14:paraId="5CA5D443" w14:textId="77777777" w:rsidR="00AA3A5F" w:rsidRPr="00B25A22" w:rsidRDefault="00AA3A5F" w:rsidP="007A68D5">
            <w:pPr>
              <w:ind w:left="550" w:firstLine="17"/>
              <w:rPr>
                <w:rFonts w:cs="Times New Roman"/>
                <w:noProof/>
                <w:sz w:val="20"/>
                <w:szCs w:val="20"/>
              </w:rPr>
            </w:pPr>
            <w:r w:rsidRPr="00B25A22">
              <w:rPr>
                <w:rFonts w:cs="Times New Roman"/>
                <w:b/>
                <w:noProof/>
                <w:sz w:val="20"/>
                <w:szCs w:val="20"/>
              </w:rPr>
              <w:t>O.28</w:t>
            </w:r>
            <w:r w:rsidRPr="00B25A22">
              <w:rPr>
                <w:rFonts w:cs="Times New Roman"/>
                <w:noProof/>
                <w:sz w:val="20"/>
                <w:szCs w:val="20"/>
              </w:rPr>
              <w:t xml:space="preserve"> Počet jiných skupin spolupráce</w:t>
            </w:r>
          </w:p>
        </w:tc>
      </w:tr>
      <w:tr w:rsidR="00AA3A5F" w:rsidRPr="000703B9" w14:paraId="13CF3707" w14:textId="77777777" w:rsidTr="007A68D5">
        <w:trPr>
          <w:cantSplit/>
          <w:trHeight w:val="522"/>
        </w:trPr>
        <w:tc>
          <w:tcPr>
            <w:tcW w:w="1276" w:type="pct"/>
            <w:gridSpan w:val="2"/>
          </w:tcPr>
          <w:p w14:paraId="3485E9C0" w14:textId="77777777" w:rsidR="00AA3A5F" w:rsidRPr="00B25A22" w:rsidRDefault="00AA3A5F" w:rsidP="007A68D5">
            <w:pPr>
              <w:ind w:left="550" w:hanging="550"/>
              <w:rPr>
                <w:rFonts w:cs="Times New Roman"/>
                <w:b/>
                <w:bCs/>
                <w:noProof/>
                <w:color w:val="000000"/>
                <w:sz w:val="20"/>
                <w:szCs w:val="20"/>
              </w:rPr>
            </w:pPr>
            <w:r w:rsidRPr="00B25A22">
              <w:rPr>
                <w:rFonts w:cs="Times New Roman"/>
                <w:b/>
                <w:noProof/>
                <w:color w:val="000000"/>
                <w:sz w:val="20"/>
                <w:szCs w:val="20"/>
              </w:rPr>
              <w:t>Odvětvové programy</w:t>
            </w:r>
          </w:p>
        </w:tc>
        <w:tc>
          <w:tcPr>
            <w:tcW w:w="3724" w:type="pct"/>
          </w:tcPr>
          <w:p w14:paraId="1065287F" w14:textId="77777777" w:rsidR="00AA3A5F" w:rsidRPr="00B25A22" w:rsidRDefault="00AA3A5F" w:rsidP="007A68D5">
            <w:pPr>
              <w:ind w:left="550" w:firstLine="17"/>
              <w:rPr>
                <w:rFonts w:cs="Times New Roman"/>
                <w:b/>
                <w:noProof/>
                <w:sz w:val="20"/>
                <w:szCs w:val="20"/>
              </w:rPr>
            </w:pPr>
            <w:r w:rsidRPr="00B25A22">
              <w:rPr>
                <w:rFonts w:cs="Times New Roman"/>
                <w:b/>
                <w:noProof/>
                <w:sz w:val="20"/>
                <w:szCs w:val="20"/>
              </w:rPr>
              <w:t>O.33</w:t>
            </w:r>
            <w:r w:rsidRPr="00B25A22">
              <w:rPr>
                <w:rFonts w:cs="Times New Roman"/>
                <w:noProof/>
                <w:sz w:val="20"/>
                <w:szCs w:val="20"/>
              </w:rPr>
              <w:t xml:space="preserve"> Počet organizací producentů, které zřídily provozní fond / operační program </w:t>
            </w:r>
          </w:p>
        </w:tc>
      </w:tr>
      <w:tr w:rsidR="00AA3A5F" w:rsidRPr="000703B9" w14:paraId="125E939B" w14:textId="77777777" w:rsidTr="007A68D5">
        <w:trPr>
          <w:cantSplit/>
          <w:trHeight w:val="80"/>
        </w:trPr>
        <w:tc>
          <w:tcPr>
            <w:tcW w:w="1276" w:type="pct"/>
            <w:gridSpan w:val="2"/>
          </w:tcPr>
          <w:p w14:paraId="0F7EC570" w14:textId="77777777" w:rsidR="00AA3A5F" w:rsidRPr="00B25A22" w:rsidRDefault="00AA3A5F" w:rsidP="007A68D5">
            <w:pPr>
              <w:ind w:left="550" w:firstLine="17"/>
              <w:rPr>
                <w:rFonts w:cs="Times New Roman"/>
                <w:b/>
                <w:bCs/>
                <w:noProof/>
                <w:color w:val="000000"/>
                <w:sz w:val="20"/>
                <w:szCs w:val="20"/>
              </w:rPr>
            </w:pPr>
          </w:p>
        </w:tc>
        <w:tc>
          <w:tcPr>
            <w:tcW w:w="3724" w:type="pct"/>
          </w:tcPr>
          <w:p w14:paraId="0D690E84" w14:textId="77777777" w:rsidR="00AA3A5F" w:rsidRPr="00B25A22" w:rsidRDefault="00AA3A5F" w:rsidP="007A68D5">
            <w:pPr>
              <w:spacing w:line="300" w:lineRule="atLeast"/>
              <w:ind w:left="550" w:firstLine="17"/>
              <w:rPr>
                <w:rFonts w:cs="Times New Roman"/>
                <w:b/>
                <w:noProof/>
                <w:sz w:val="20"/>
                <w:szCs w:val="20"/>
              </w:rPr>
            </w:pPr>
            <w:r w:rsidRPr="00B25A22">
              <w:rPr>
                <w:rFonts w:cs="Times New Roman"/>
                <w:b/>
                <w:noProof/>
                <w:sz w:val="20"/>
                <w:szCs w:val="20"/>
              </w:rPr>
              <w:t>O.34</w:t>
            </w:r>
            <w:r w:rsidRPr="00B25A22">
              <w:rPr>
                <w:rFonts w:cs="Times New Roman"/>
                <w:noProof/>
                <w:sz w:val="20"/>
                <w:szCs w:val="20"/>
              </w:rPr>
              <w:t xml:space="preserve"> Počet propagačních a informačních opatření a sledování trhu </w:t>
            </w:r>
          </w:p>
        </w:tc>
      </w:tr>
      <w:tr w:rsidR="00AA3A5F" w:rsidRPr="000703B9" w14:paraId="78F318A0" w14:textId="77777777" w:rsidTr="00C01E83">
        <w:trPr>
          <w:cantSplit/>
          <w:trHeight w:val="343"/>
        </w:trPr>
        <w:tc>
          <w:tcPr>
            <w:tcW w:w="1276" w:type="pct"/>
            <w:gridSpan w:val="2"/>
          </w:tcPr>
          <w:p w14:paraId="515156E2" w14:textId="77777777" w:rsidR="00AA3A5F" w:rsidRPr="00B25A22" w:rsidRDefault="00AA3A5F" w:rsidP="007A68D5">
            <w:pPr>
              <w:ind w:left="550" w:firstLine="17"/>
              <w:rPr>
                <w:rFonts w:cs="Times New Roman"/>
                <w:b/>
                <w:noProof/>
                <w:sz w:val="20"/>
                <w:szCs w:val="20"/>
              </w:rPr>
            </w:pPr>
          </w:p>
        </w:tc>
        <w:tc>
          <w:tcPr>
            <w:tcW w:w="3724" w:type="pct"/>
          </w:tcPr>
          <w:p w14:paraId="387EF112" w14:textId="77777777" w:rsidR="00AA3A5F" w:rsidRPr="00B25A22" w:rsidRDefault="00AA3A5F" w:rsidP="007A68D5">
            <w:pPr>
              <w:ind w:left="550" w:firstLine="17"/>
              <w:rPr>
                <w:rFonts w:cs="Times New Roman"/>
                <w:b/>
                <w:noProof/>
                <w:sz w:val="20"/>
                <w:szCs w:val="20"/>
              </w:rPr>
            </w:pPr>
            <w:r w:rsidRPr="00B25A22">
              <w:rPr>
                <w:rFonts w:cs="Times New Roman"/>
                <w:b/>
                <w:noProof/>
                <w:sz w:val="20"/>
                <w:szCs w:val="20"/>
              </w:rPr>
              <w:t>O.35</w:t>
            </w:r>
            <w:r w:rsidRPr="00B25A22">
              <w:rPr>
                <w:rFonts w:cs="Times New Roman"/>
                <w:noProof/>
                <w:sz w:val="20"/>
                <w:szCs w:val="20"/>
              </w:rPr>
              <w:t xml:space="preserve"> Počet opatření k zachování/zlepšení podmínek včelařství</w:t>
            </w:r>
          </w:p>
        </w:tc>
      </w:tr>
    </w:tbl>
    <w:p w14:paraId="74B86077" w14:textId="21599A40" w:rsidR="00AA3A5F" w:rsidRPr="00B25A22" w:rsidRDefault="00AA3A5F" w:rsidP="00C01E83">
      <w:pPr>
        <w:pStyle w:val="UZEIZdroj"/>
      </w:pPr>
      <w:r w:rsidRPr="00B25A22">
        <w:t>Pramen: návrh „Nařízení“</w:t>
      </w:r>
    </w:p>
    <w:p w14:paraId="6059A433" w14:textId="566DF78C" w:rsidR="00AA3A5F" w:rsidRPr="00B25A22" w:rsidRDefault="00AA3A5F" w:rsidP="00C01E83">
      <w:pPr>
        <w:pStyle w:val="UZEITaB"/>
        <w:rPr>
          <w:rFonts w:eastAsia="Calibri" w:cs="Times New Roman"/>
          <w:noProof/>
          <w:u w:val="single"/>
        </w:rPr>
      </w:pPr>
      <w:bookmarkStart w:id="19" w:name="_Toc81743439"/>
      <w:r w:rsidRPr="00B25A22">
        <w:rPr>
          <w:rFonts w:cs="Times New Roman"/>
          <w:noProof/>
        </w:rPr>
        <w:t>Ukazatele kontextu</w:t>
      </w:r>
      <w:bookmarkEnd w:id="1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020"/>
        <w:gridCol w:w="7022"/>
      </w:tblGrid>
      <w:tr w:rsidR="00AA3A5F" w:rsidRPr="000703B9" w14:paraId="3DBBE8A7" w14:textId="77777777" w:rsidTr="007A68D5">
        <w:tc>
          <w:tcPr>
            <w:tcW w:w="1117" w:type="pct"/>
            <w:shd w:val="clear" w:color="auto" w:fill="auto"/>
            <w:vAlign w:val="center"/>
          </w:tcPr>
          <w:p w14:paraId="69FD12D0" w14:textId="77777777" w:rsidR="00AA3A5F" w:rsidRPr="00B25A22" w:rsidRDefault="00AA3A5F" w:rsidP="007A68D5">
            <w:pPr>
              <w:spacing w:after="60"/>
              <w:rPr>
                <w:rFonts w:cs="Times New Roman"/>
                <w:b/>
                <w:sz w:val="18"/>
                <w:szCs w:val="18"/>
                <w:lang w:val="cs-CZ"/>
              </w:rPr>
            </w:pPr>
            <w:r w:rsidRPr="00B25A22">
              <w:rPr>
                <w:rFonts w:cs="Times New Roman"/>
                <w:sz w:val="18"/>
                <w:szCs w:val="18"/>
                <w:lang w:val="cs-CZ"/>
              </w:rPr>
              <w:br w:type="page"/>
              <w:t>Ukazatel</w:t>
            </w:r>
            <w:r w:rsidRPr="00B25A22">
              <w:rPr>
                <w:rFonts w:cs="Times New Roman"/>
                <w:b/>
                <w:smallCaps/>
                <w:sz w:val="18"/>
                <w:szCs w:val="18"/>
                <w:lang w:val="cs-CZ"/>
              </w:rPr>
              <w:t xml:space="preserve"> C.1</w:t>
            </w:r>
            <w:r w:rsidRPr="00B25A22">
              <w:rPr>
                <w:rFonts w:cs="Times New Roman"/>
                <w:b/>
                <w:sz w:val="18"/>
                <w:szCs w:val="18"/>
                <w:lang w:val="cs-CZ"/>
              </w:rPr>
              <w:t>1</w:t>
            </w:r>
          </w:p>
        </w:tc>
        <w:tc>
          <w:tcPr>
            <w:tcW w:w="3883" w:type="pct"/>
            <w:shd w:val="clear" w:color="auto" w:fill="auto"/>
          </w:tcPr>
          <w:p w14:paraId="2CC7B10C" w14:textId="77777777" w:rsidR="00AA3A5F" w:rsidRPr="00B25A22" w:rsidRDefault="00AA3A5F" w:rsidP="007A68D5">
            <w:pPr>
              <w:spacing w:after="60"/>
              <w:rPr>
                <w:rFonts w:cs="Times New Roman"/>
                <w:b/>
                <w:sz w:val="18"/>
                <w:szCs w:val="18"/>
                <w:lang w:val="cs-CZ"/>
              </w:rPr>
            </w:pPr>
            <w:r w:rsidRPr="00B25A22">
              <w:rPr>
                <w:rFonts w:cs="Times New Roman"/>
                <w:b/>
                <w:caps/>
                <w:sz w:val="18"/>
                <w:szCs w:val="18"/>
                <w:lang w:val="cs-CZ"/>
              </w:rPr>
              <w:t xml:space="preserve">Ukazatel I.8 </w:t>
            </w:r>
            <w:r w:rsidRPr="00B25A22">
              <w:rPr>
                <w:rFonts w:cs="Times New Roman"/>
                <w:b/>
                <w:sz w:val="18"/>
                <w:szCs w:val="18"/>
                <w:lang w:val="cs-CZ"/>
              </w:rPr>
              <w:t>Zlepšovat postavení zemědělců v hodnotovém řetězci:</w:t>
            </w:r>
          </w:p>
          <w:p w14:paraId="03DFDA07" w14:textId="77777777" w:rsidR="00AA3A5F" w:rsidRPr="00B25A22" w:rsidRDefault="00AA3A5F" w:rsidP="007A68D5">
            <w:pPr>
              <w:spacing w:after="60"/>
              <w:rPr>
                <w:rFonts w:cs="Times New Roman"/>
                <w:caps/>
                <w:sz w:val="18"/>
                <w:szCs w:val="18"/>
                <w:lang w:val="cs-CZ"/>
              </w:rPr>
            </w:pPr>
            <w:r w:rsidRPr="00B25A22">
              <w:rPr>
                <w:rFonts w:cs="Times New Roman"/>
                <w:sz w:val="18"/>
                <w:szCs w:val="18"/>
                <w:lang w:val="cs-CZ"/>
              </w:rPr>
              <w:t xml:space="preserve">Přidaná hodnota zemědělské produkci v potravinovém řetězci. </w:t>
            </w:r>
          </w:p>
        </w:tc>
      </w:tr>
      <w:tr w:rsidR="00AA3A5F" w:rsidRPr="000703B9" w14:paraId="23BBBEA8" w14:textId="77777777" w:rsidTr="007A68D5">
        <w:tc>
          <w:tcPr>
            <w:tcW w:w="1117" w:type="pct"/>
            <w:shd w:val="clear" w:color="auto" w:fill="auto"/>
            <w:vAlign w:val="center"/>
          </w:tcPr>
          <w:p w14:paraId="6CD92BA7" w14:textId="77777777" w:rsidR="00AA3A5F" w:rsidRPr="00B25A22" w:rsidRDefault="00AA3A5F" w:rsidP="007A68D5">
            <w:pPr>
              <w:spacing w:after="60"/>
              <w:rPr>
                <w:rFonts w:cs="Times New Roman"/>
                <w:b/>
                <w:sz w:val="18"/>
                <w:szCs w:val="18"/>
                <w:lang w:val="cs-CZ"/>
              </w:rPr>
            </w:pPr>
            <w:r w:rsidRPr="00B25A22">
              <w:rPr>
                <w:rFonts w:cs="Times New Roman"/>
                <w:b/>
                <w:sz w:val="18"/>
                <w:szCs w:val="18"/>
                <w:lang w:val="cs-CZ"/>
              </w:rPr>
              <w:t>Název indikátoru</w:t>
            </w:r>
          </w:p>
        </w:tc>
        <w:tc>
          <w:tcPr>
            <w:tcW w:w="3883" w:type="pct"/>
            <w:shd w:val="clear" w:color="auto" w:fill="auto"/>
            <w:vAlign w:val="center"/>
          </w:tcPr>
          <w:p w14:paraId="626C8F77" w14:textId="77777777" w:rsidR="00AA3A5F" w:rsidRPr="00B25A22" w:rsidRDefault="00AA3A5F" w:rsidP="007A68D5">
            <w:pPr>
              <w:spacing w:after="60"/>
              <w:jc w:val="center"/>
              <w:rPr>
                <w:rFonts w:cs="Times New Roman"/>
                <w:b/>
                <w:sz w:val="18"/>
                <w:szCs w:val="18"/>
                <w:lang w:val="cs-CZ"/>
              </w:rPr>
            </w:pPr>
            <w:r w:rsidRPr="00B25A22">
              <w:rPr>
                <w:rFonts w:cs="Times New Roman"/>
                <w:b/>
                <w:sz w:val="18"/>
                <w:szCs w:val="18"/>
                <w:lang w:val="cs-CZ"/>
              </w:rPr>
              <w:t>Hrubá přidaná hodnota (HPH)</w:t>
            </w:r>
          </w:p>
          <w:p w14:paraId="79C8B459" w14:textId="77777777" w:rsidR="00AA3A5F" w:rsidRPr="00B25A22" w:rsidRDefault="00AA3A5F" w:rsidP="007A68D5">
            <w:pPr>
              <w:spacing w:after="60"/>
              <w:jc w:val="center"/>
              <w:rPr>
                <w:rFonts w:cs="Times New Roman"/>
                <w:b/>
                <w:i/>
                <w:color w:val="808080"/>
                <w:sz w:val="18"/>
                <w:szCs w:val="18"/>
                <w:lang w:val="cs-CZ"/>
              </w:rPr>
            </w:pPr>
            <w:r w:rsidRPr="00B25A22">
              <w:rPr>
                <w:rFonts w:cs="Times New Roman"/>
                <w:b/>
                <w:i/>
                <w:sz w:val="18"/>
                <w:szCs w:val="18"/>
                <w:lang w:val="cs-CZ"/>
              </w:rPr>
              <w:t>Za odvětví, za region, v zemědělství a pro primární producenty</w:t>
            </w:r>
          </w:p>
        </w:tc>
      </w:tr>
    </w:tbl>
    <w:p w14:paraId="748E047A" w14:textId="77777777" w:rsidR="00AA3A5F" w:rsidRPr="00B25A22" w:rsidRDefault="00AA3A5F" w:rsidP="00C01E83">
      <w:pPr>
        <w:pStyle w:val="UZEIZdroj"/>
      </w:pPr>
      <w:r w:rsidRPr="00B25A22">
        <w:t>Pramen: návrh „Nařízení“</w:t>
      </w:r>
    </w:p>
    <w:p w14:paraId="01E1285A" w14:textId="49DBE579" w:rsidR="00AA3A5F" w:rsidRPr="00B25A22" w:rsidRDefault="00C01E83" w:rsidP="00C01E83">
      <w:pPr>
        <w:spacing w:after="160" w:line="259" w:lineRule="auto"/>
        <w:jc w:val="left"/>
        <w:rPr>
          <w:rFonts w:cs="Times New Roman"/>
          <w:noProof/>
          <w:color w:val="000000"/>
          <w:sz w:val="22"/>
          <w:lang w:val="cs-CZ"/>
        </w:rPr>
      </w:pPr>
      <w:r w:rsidRPr="00B25A22">
        <w:rPr>
          <w:rFonts w:cs="Times New Roman"/>
          <w:noProof/>
          <w:color w:val="000000"/>
          <w:sz w:val="22"/>
          <w:lang w:val="cs-CZ"/>
        </w:rPr>
        <w:br w:type="page"/>
      </w:r>
    </w:p>
    <w:p w14:paraId="35715CFD" w14:textId="5593AA6A" w:rsidR="00AA3A5F" w:rsidRPr="001E17E8" w:rsidRDefault="00AA3A5F" w:rsidP="00AA3A5F">
      <w:pPr>
        <w:pStyle w:val="Nadpis1"/>
      </w:pPr>
      <w:bookmarkStart w:id="20" w:name="_Toc12598427"/>
      <w:bookmarkStart w:id="21" w:name="_Toc80969602"/>
      <w:bookmarkStart w:id="22" w:name="_Toc81743383"/>
      <w:bookmarkStart w:id="23" w:name="_Toc81743830"/>
      <w:r w:rsidRPr="00B25A22">
        <w:lastRenderedPageBreak/>
        <w:t>Stanovení skutečného problému, na který má politika reagovat Co je skutečným problémem, na který má/by měla politika v rámci jednotlivých dílčích cílů reagovat?</w:t>
      </w:r>
      <w:bookmarkEnd w:id="20"/>
      <w:bookmarkEnd w:id="21"/>
      <w:bookmarkEnd w:id="22"/>
      <w:bookmarkEnd w:id="23"/>
    </w:p>
    <w:p w14:paraId="5909245C" w14:textId="77777777" w:rsidR="00AA3A5F" w:rsidRPr="00B25A22" w:rsidRDefault="00AA3A5F" w:rsidP="00863AA4">
      <w:pPr>
        <w:pStyle w:val="UZEINormaln"/>
        <w:rPr>
          <w:rFonts w:eastAsia="Calibri" w:cs="Times New Roman"/>
          <w:b/>
        </w:rPr>
      </w:pPr>
      <w:r w:rsidRPr="00B25A22">
        <w:rPr>
          <w:rFonts w:cs="Times New Roman"/>
        </w:rPr>
        <w:t xml:space="preserve">Zemědělci jsou spolu s dodavateli vstupů výchozím článkem zemědělsko-potravinářské vertikály. Zemědělci určují výchozí kvalitu finálního produktu – potravin určených ke konzumaci. </w:t>
      </w:r>
      <w:r w:rsidRPr="00B25A22">
        <w:rPr>
          <w:rFonts w:cs="Times New Roman"/>
          <w:b/>
        </w:rPr>
        <w:t>K zachování kvality, kterou zemědělci vyprodukují, k jejímu navýšení a k jejímu uplatnění na trhu potřebují zemědělci navazující články vertikály</w:t>
      </w:r>
      <w:r w:rsidRPr="00B25A22">
        <w:rPr>
          <w:rFonts w:cs="Times New Roman"/>
        </w:rPr>
        <w:t>. Postavení zemědělců v hodnotovém řetězci je dáno zejména strukturou vertikály, tedy jejím kvalitativním a kvantitativním charakterem. Struktura vertikály, včetně jejích kvalitativních znaků, tedy určuje, do jaké míry se promítá zemědělská produkce na konec vertikály a do jaké míry se společně vytvořená kvalita zpětně odráží od konce vertikály k zemědělcům ve formě ocenění jejich produktu. Další text se zabývá problematickými místy ve vertikále, které postavení zemědělců v hodnotovém řetězci znesnadňují. Byly identifikovány tři problematické okruhy. Již z prvního okruhu, vysoké koncentrace prodeje na konci hodnotového řetězce, je zřejmé, že postavení zemědělců je velmi obtížné. Návrh nařízení SZP umožňuje podpořit aktivní přístup ke zlepšení pozice zemědělců, ale s ohledem na situaci, která je popsána níže, lze očekávat spíše dílčí kroky vedoucí ke zlepšení než radikální změnu. </w:t>
      </w:r>
    </w:p>
    <w:p w14:paraId="4EC4BE14" w14:textId="77777777" w:rsidR="00AA3A5F" w:rsidRPr="00B25A22" w:rsidRDefault="00AA3A5F" w:rsidP="00863AA4">
      <w:pPr>
        <w:pStyle w:val="UZEINormaln"/>
        <w:rPr>
          <w:rFonts w:eastAsia="Calibri" w:cs="Times New Roman"/>
        </w:rPr>
      </w:pPr>
      <w:r w:rsidRPr="00B25A22">
        <w:rPr>
          <w:rFonts w:eastAsia="Calibri" w:cs="Times New Roman"/>
        </w:rPr>
        <w:t xml:space="preserve">U výrobců, kteří se aktivně nezapojují do odbytu svých výrobků, ať kapitálově či organizačně, rozhodují o úspěšné realizaci jejich produkce u konečného článku vertikály (spotřebitele) subjekty navazujících sektorů. Zemědělští výrobci se pak stávají příjemcem ceny a dalších podmínek prodeje s omezenou možností tlumit tržní selhání a jejich negativní dopady do ekonomiky zemědělských podniků. Společnost pak saturuje případné nepříznivé ekonomické výsledky důchodovými podporami zemědělcům, které však neřeší podstatu problému. </w:t>
      </w:r>
    </w:p>
    <w:p w14:paraId="6CBCEB3E" w14:textId="77777777" w:rsidR="00AA3A5F" w:rsidRPr="00B25A22" w:rsidRDefault="00AA3A5F" w:rsidP="00863AA4">
      <w:pPr>
        <w:pStyle w:val="UZEINormaln"/>
        <w:rPr>
          <w:rFonts w:cs="Times New Roman"/>
        </w:rPr>
      </w:pPr>
      <w:r w:rsidRPr="00B25A22">
        <w:rPr>
          <w:rFonts w:cs="Times New Roman"/>
        </w:rPr>
        <w:t>Problém je souhrnně identifikován v návrh textu směrnice Evropského parlamentu a Rady o nekalých obchodních praktikách.  „Počet a velikost subjektů se v různých fázích zemědělského a potravinového řetězce liší. Rozdíly ve vyjednávací síle souvisejí s různými úrovněmi koncentrace subjektů a mohou umožňovat nespravedlivé uplatňování vyjednávací síly pomocí nekalých obchodních praktik. Nekalé obchodní praktiky jsou mimořádně škodlivé pro malé a střední subjekty v zemědělském a potravinovém řetězci. Zemědělští výrobci, kteří dodávají prvotní zemědělské produkty, jsou často malé nebo střední podniky“</w:t>
      </w:r>
      <w:r w:rsidRPr="00B25A22">
        <w:rPr>
          <w:rStyle w:val="Znakapoznpodarou"/>
          <w:vertAlign w:val="baseline"/>
        </w:rPr>
        <w:footnoteReference w:id="2"/>
      </w:r>
      <w:r w:rsidRPr="00B25A22">
        <w:rPr>
          <w:rFonts w:cs="Times New Roman"/>
        </w:rPr>
        <w:t xml:space="preserve">. </w:t>
      </w:r>
    </w:p>
    <w:p w14:paraId="26998B88" w14:textId="77777777" w:rsidR="00AA3A5F" w:rsidRPr="00B25A22" w:rsidRDefault="00AA3A5F" w:rsidP="00863AA4">
      <w:pPr>
        <w:pStyle w:val="UZEINormaln"/>
        <w:rPr>
          <w:rFonts w:eastAsia="Calibri" w:cs="Times New Roman"/>
        </w:rPr>
      </w:pPr>
      <w:r w:rsidRPr="00B25A22">
        <w:rPr>
          <w:rFonts w:eastAsia="Calibri" w:cs="Times New Roman"/>
        </w:rPr>
        <w:t xml:space="preserve">Funkční a spravedlivá organizace trhů patří mezi hlavní cíle Strategie pro růst Ministerstva zemědělství České republiky do roku 2030 (dále jen Strategie). Podle dokumentu trh zemědělských komodit výrazně ovlivňují vztahy ke zpracovatelským podnikům, a to zejména k prvním zpracovatelům. Jejich produktivita je ve srovnání s vyspělejšími zeměmi EU podstatně nižší a přenáší se často do nižších CZV nakupované suroviny. Zemědělci v těchto podmínkách hledají jiné cesty odbytu své produkce, včetně vývozu suroviny, formování jiných segmentů trhu („krátkých řetězců“) či vertikál v nově se rozvíjejících podnicích holdingového typu. Na straně zemědělců je však relativně malá rozvinutost odbytových organizací prvovýrobců s výjimkou několika dobře fungujících (MZe, 2016).  </w:t>
      </w:r>
    </w:p>
    <w:p w14:paraId="6B8AAA5C" w14:textId="77777777" w:rsidR="00AA3A5F" w:rsidRPr="00B25A22" w:rsidRDefault="00AA3A5F" w:rsidP="00863AA4">
      <w:pPr>
        <w:pStyle w:val="UZEINormaln"/>
        <w:rPr>
          <w:rFonts w:eastAsia="Calibri" w:cs="Times New Roman"/>
        </w:rPr>
      </w:pPr>
      <w:r w:rsidRPr="00B25A22">
        <w:rPr>
          <w:rFonts w:eastAsia="Calibri" w:cs="Times New Roman"/>
        </w:rPr>
        <w:t>Problém zlepšení pozice zemědělců v hodnotovém řetězci lze strukturovat do několika okruhů, které jsou propojeny a vzájemně se ovlivňují.</w:t>
      </w:r>
    </w:p>
    <w:p w14:paraId="41B66FFA" w14:textId="77777777" w:rsidR="00AA3A5F" w:rsidRPr="00B25A22" w:rsidRDefault="00AA3A5F" w:rsidP="00BA3563">
      <w:pPr>
        <w:pStyle w:val="UZEINormaln"/>
        <w:numPr>
          <w:ilvl w:val="0"/>
          <w:numId w:val="34"/>
        </w:numPr>
        <w:rPr>
          <w:rFonts w:cs="Times New Roman"/>
          <w:b/>
          <w:bCs/>
        </w:rPr>
      </w:pPr>
      <w:r w:rsidRPr="00B25A22">
        <w:rPr>
          <w:rFonts w:cs="Times New Roman"/>
          <w:b/>
          <w:bCs/>
        </w:rPr>
        <w:t>Dominantní vliv obchodních řetězců z pozice maloobchodního odběratele a s tím související tržní nedokonalosti (asymetrická cenová transmise, diktát odběratelských podmínek).</w:t>
      </w:r>
    </w:p>
    <w:p w14:paraId="0EF29AAC" w14:textId="77777777" w:rsidR="00AA3A5F" w:rsidRPr="00B25A22" w:rsidRDefault="00AA3A5F" w:rsidP="00BA3563">
      <w:pPr>
        <w:pStyle w:val="UZEINormaln"/>
        <w:numPr>
          <w:ilvl w:val="0"/>
          <w:numId w:val="34"/>
        </w:numPr>
        <w:rPr>
          <w:rFonts w:cs="Times New Roman"/>
          <w:b/>
          <w:bCs/>
        </w:rPr>
      </w:pPr>
      <w:r w:rsidRPr="00B25A22">
        <w:rPr>
          <w:rFonts w:cs="Times New Roman"/>
          <w:b/>
          <w:bCs/>
        </w:rPr>
        <w:lastRenderedPageBreak/>
        <w:t>Nízká míra sdružování zemědělských výrobců při odbytu navazujícím článkům.</w:t>
      </w:r>
    </w:p>
    <w:p w14:paraId="0C246B97" w14:textId="57E689F8" w:rsidR="00AA3A5F" w:rsidRPr="00B25A22" w:rsidRDefault="00AA3A5F" w:rsidP="00BA3563">
      <w:pPr>
        <w:pStyle w:val="UZEINormaln"/>
        <w:numPr>
          <w:ilvl w:val="0"/>
          <w:numId w:val="34"/>
        </w:numPr>
        <w:rPr>
          <w:rFonts w:cs="Times New Roman"/>
          <w:b/>
          <w:bCs/>
        </w:rPr>
      </w:pPr>
      <w:r w:rsidRPr="00B25A22">
        <w:rPr>
          <w:rFonts w:cs="Times New Roman"/>
          <w:b/>
          <w:bCs/>
        </w:rPr>
        <w:t xml:space="preserve">Absence diferenciace produktů prostřednictvím vertikálních režimů kvality zapojujících prvovýrobce k prosazení výrobků ve spotřebitelských preferencích. </w:t>
      </w:r>
    </w:p>
    <w:p w14:paraId="4247DD2A" w14:textId="77777777" w:rsidR="00B54B07" w:rsidRPr="00B25A22" w:rsidRDefault="00B54B07" w:rsidP="00B54B07">
      <w:pPr>
        <w:pStyle w:val="UZEINormaln"/>
        <w:ind w:left="720"/>
        <w:rPr>
          <w:rFonts w:cs="Times New Roman"/>
          <w:b/>
          <w:bCs/>
        </w:rPr>
      </w:pPr>
    </w:p>
    <w:p w14:paraId="6C402EAF" w14:textId="77777777" w:rsidR="00AA3A5F" w:rsidRPr="00B25A22" w:rsidRDefault="00AA3A5F" w:rsidP="00BA3563">
      <w:pPr>
        <w:pStyle w:val="Odstavecseseznamem"/>
        <w:numPr>
          <w:ilvl w:val="0"/>
          <w:numId w:val="35"/>
        </w:numPr>
        <w:rPr>
          <w:b/>
          <w:bCs/>
        </w:rPr>
      </w:pPr>
      <w:r w:rsidRPr="00B25A22">
        <w:rPr>
          <w:b/>
          <w:bCs/>
        </w:rPr>
        <w:t>Dominantní vliv obchodních řetězců z pozice maloobchodního odběratele a s tím související tržní nedokonalosti (asymetrická cenová transmise, diktát odběratelských podmínek).</w:t>
      </w:r>
    </w:p>
    <w:p w14:paraId="754BDD91" w14:textId="77777777" w:rsidR="00AA3A5F" w:rsidRPr="00B25A22" w:rsidRDefault="00AA3A5F" w:rsidP="00B54B07">
      <w:pPr>
        <w:pStyle w:val="UZEINormaln"/>
        <w:rPr>
          <w:rFonts w:eastAsia="Calibri" w:cs="Times New Roman"/>
        </w:rPr>
      </w:pPr>
      <w:r w:rsidRPr="00B25A22">
        <w:rPr>
          <w:rFonts w:eastAsia="Calibri" w:cs="Times New Roman"/>
        </w:rPr>
        <w:t>Maloobchod je silně koncentrován a podmínky odběru převažující části zemědělských a potravinářských produktů na úrovni maloobchodu jsou podle informací dodavatelů ve většině případů určovány z pozice síly.</w:t>
      </w:r>
    </w:p>
    <w:p w14:paraId="7A7FF663" w14:textId="77777777" w:rsidR="00AA3A5F" w:rsidRPr="00B25A22" w:rsidRDefault="00AA3A5F" w:rsidP="00696A4A">
      <w:pPr>
        <w:pStyle w:val="UZEIOdrky"/>
        <w:rPr>
          <w:rFonts w:cs="Times New Roman"/>
        </w:rPr>
      </w:pPr>
      <w:r w:rsidRPr="00B25A22">
        <w:rPr>
          <w:rFonts w:cs="Times New Roman"/>
        </w:rPr>
        <w:t>Na úrovni maloobchodu dominuje v ČR pouze několik skupin obchodních řetězců. Maloobchodní trh ČR se vyznačuje vysokou koncentrací, která se přibližuje situaci v západoevropských zemích. V roce 2017 dosáhl tržní podíl moderního trhu celkem reprezentovaný 8 největšími obchodními řetězci (Kaufland, Lidl, Ahold, Tesco, Makro, Penny Market, Billa a Globus) 70,6 % (GFK Czech, 2017), v roce 2018 nepatrně vzrostl na 67,4 % a v roce 2019 již činil 69,7 % (odhady Skála a Šolc s.r.o., 2020). Vzhledem k vývoji před 5 lety se podíl moderního obchodu na trhu celkem navýšil o 3,0 p. b.  Vůči obchodním řetězcům neexistuje adekvátní vyjednávací síla.</w:t>
      </w:r>
    </w:p>
    <w:p w14:paraId="1A1C37C4" w14:textId="77777777" w:rsidR="00AA3A5F" w:rsidRPr="00B25A22" w:rsidRDefault="00AA3A5F" w:rsidP="00696A4A">
      <w:pPr>
        <w:pStyle w:val="UZEIOdrky"/>
        <w:rPr>
          <w:rFonts w:cs="Times New Roman"/>
        </w:rPr>
      </w:pPr>
      <w:r w:rsidRPr="00B25A22">
        <w:rPr>
          <w:rFonts w:cs="Times New Roman"/>
        </w:rPr>
        <w:t>Vůči vysoké koncentraci maloobchodu neexistuje adekvátní vyjednávací síla. Jak potvrzuje Strategie (MZe, 2015), významné rozdíly ve vyjednávací síle mezi smluvními stranami v rámci potravinového řetězce mohou vyústit do zneužívání ekonomické síly a do uplatňování nekalých obchodních praktik, s dopady zejména na dodavatelské články řetězce.</w:t>
      </w:r>
    </w:p>
    <w:p w14:paraId="47942129" w14:textId="77777777" w:rsidR="00AA3A5F" w:rsidRPr="00B25A22" w:rsidRDefault="00AA3A5F" w:rsidP="00696A4A">
      <w:pPr>
        <w:pStyle w:val="UZEIOdrky"/>
        <w:rPr>
          <w:rFonts w:cs="Times New Roman"/>
        </w:rPr>
      </w:pPr>
      <w:r w:rsidRPr="00B25A22">
        <w:rPr>
          <w:rFonts w:cs="Times New Roman"/>
        </w:rPr>
        <w:t>U vybraných odvětví, kde došlo k měření, byla identifikována asymetrická cenová transmise. Asymetrický přenos cen byl potvrzen v sektoru mléka a mlékárenských výrobků (Bošková a kol., 2017)</w:t>
      </w:r>
      <w:r w:rsidRPr="00B25A22">
        <w:rPr>
          <w:rStyle w:val="Znakapoznpodarou"/>
          <w:vertAlign w:val="baseline"/>
        </w:rPr>
        <w:footnoteReference w:id="3"/>
      </w:r>
      <w:r w:rsidRPr="00B25A22">
        <w:rPr>
          <w:rFonts w:cs="Times New Roman"/>
        </w:rPr>
        <w:t>, vepřového masa a drůbežího masa (</w:t>
      </w:r>
      <w:proofErr w:type="spellStart"/>
      <w:r w:rsidRPr="00B25A22">
        <w:rPr>
          <w:rFonts w:cs="Times New Roman"/>
        </w:rPr>
        <w:t>Rudinskaya</w:t>
      </w:r>
      <w:proofErr w:type="spellEnd"/>
      <w:r w:rsidRPr="00B25A22">
        <w:rPr>
          <w:rFonts w:cs="Times New Roman"/>
        </w:rPr>
        <w:t>, 2017)</w:t>
      </w:r>
      <w:r w:rsidRPr="00B25A22">
        <w:rPr>
          <w:rStyle w:val="Znakapoznpodarou"/>
          <w:vertAlign w:val="baseline"/>
        </w:rPr>
        <w:footnoteReference w:id="4"/>
      </w:r>
      <w:r w:rsidRPr="00B25A22">
        <w:rPr>
          <w:rFonts w:cs="Times New Roman"/>
        </w:rPr>
        <w:t xml:space="preserve">. </w:t>
      </w:r>
    </w:p>
    <w:p w14:paraId="23DF61CF" w14:textId="77777777" w:rsidR="001E17E8" w:rsidRDefault="00AA3A5F" w:rsidP="00696A4A">
      <w:pPr>
        <w:pStyle w:val="UZEINormaln"/>
        <w:rPr>
          <w:rFonts w:eastAsia="Calibri" w:cs="Times New Roman"/>
        </w:rPr>
      </w:pPr>
      <w:r w:rsidRPr="00B25A22">
        <w:rPr>
          <w:rFonts w:eastAsia="Calibri" w:cs="Times New Roman"/>
        </w:rPr>
        <w:t xml:space="preserve">Podle výsledků výzkumu společnosti </w:t>
      </w:r>
      <w:proofErr w:type="spellStart"/>
      <w:r w:rsidRPr="00B25A22">
        <w:rPr>
          <w:rFonts w:eastAsia="Calibri" w:cs="Times New Roman"/>
        </w:rPr>
        <w:t>GfK</w:t>
      </w:r>
      <w:proofErr w:type="spellEnd"/>
      <w:r w:rsidRPr="00B25A22">
        <w:rPr>
          <w:rFonts w:eastAsia="Calibri" w:cs="Times New Roman"/>
        </w:rPr>
        <w:t xml:space="preserve"> Czech</w:t>
      </w:r>
      <w:r w:rsidRPr="00B25A22">
        <w:rPr>
          <w:rFonts w:eastAsia="Calibri" w:cs="Times New Roman"/>
          <w:vertAlign w:val="superscript"/>
        </w:rPr>
        <w:footnoteReference w:id="5"/>
      </w:r>
      <w:r w:rsidRPr="00B25A22">
        <w:rPr>
          <w:rFonts w:eastAsia="Calibri" w:cs="Times New Roman"/>
        </w:rPr>
        <w:t xml:space="preserve"> byly v roce 2017 velkoformátové prodejny obchodních řetězců (hypermarket, supermarket, diskont) hlavním nákupním místem potravin v závislosti na sortimentu pro 70 až 90 % spotřebitelů (masa pro 72 %, uzenin pro 85 %, sýrů pro 87 %, pečiva pro 78 % a ovoce a zeleniny pro 90 % spotřebitelů). Podíly se za uplynulých pět let zvýšily u jednotlivých sortimentních skupin o 3 až 5 p. b. Jedná se o poslední dostupné údaje, n</w:t>
      </w:r>
      <w:r w:rsidRPr="00B25A22">
        <w:rPr>
          <w:rFonts w:cs="Times New Roman"/>
        </w:rPr>
        <w:t>ová studie z roku 2019 „</w:t>
      </w:r>
      <w:proofErr w:type="spellStart"/>
      <w:r w:rsidRPr="00B25A22">
        <w:rPr>
          <w:rFonts w:cs="Times New Roman"/>
        </w:rPr>
        <w:t>Shopper</w:t>
      </w:r>
      <w:proofErr w:type="spellEnd"/>
      <w:r w:rsidRPr="00B25A22">
        <w:rPr>
          <w:rFonts w:cs="Times New Roman"/>
        </w:rPr>
        <w:t xml:space="preserve"> </w:t>
      </w:r>
      <w:proofErr w:type="spellStart"/>
      <w:r w:rsidRPr="00B25A22">
        <w:rPr>
          <w:rFonts w:cs="Times New Roman"/>
        </w:rPr>
        <w:t>GfK</w:t>
      </w:r>
      <w:proofErr w:type="spellEnd"/>
      <w:r w:rsidRPr="00B25A22">
        <w:rPr>
          <w:rFonts w:cs="Times New Roman"/>
        </w:rPr>
        <w:t>“ tyto informace nezahrnuje.</w:t>
      </w:r>
    </w:p>
    <w:p w14:paraId="71824C10" w14:textId="619B74DE" w:rsidR="00AA3A5F" w:rsidRPr="001E17E8" w:rsidRDefault="00AA3A5F" w:rsidP="00696A4A">
      <w:pPr>
        <w:pStyle w:val="UZEINormaln"/>
        <w:rPr>
          <w:rFonts w:eastAsia="Calibri" w:cs="Times New Roman"/>
        </w:rPr>
      </w:pPr>
      <w:r w:rsidRPr="00B25A22">
        <w:rPr>
          <w:rFonts w:eastAsia="Calibri" w:cs="Times New Roman"/>
        </w:rPr>
        <w:lastRenderedPageBreak/>
        <w:t>Průzkum nákupních zvyklostí z hlediska formátů prodejen byl proveden rovněž kolektivem autorů ÚZEI</w:t>
      </w:r>
      <w:r w:rsidRPr="00B25A22">
        <w:rPr>
          <w:rStyle w:val="Znakapoznpodarou"/>
          <w:rFonts w:eastAsia="Calibri"/>
          <w:vertAlign w:val="baseline"/>
        </w:rPr>
        <w:footnoteReference w:id="6"/>
      </w:r>
      <w:r w:rsidRPr="00B25A22">
        <w:rPr>
          <w:rFonts w:eastAsia="Calibri" w:cs="Times New Roman"/>
        </w:rPr>
        <w:t xml:space="preserve">. </w:t>
      </w:r>
      <w:r w:rsidRPr="00B25A22">
        <w:rPr>
          <w:rFonts w:cs="Times New Roman"/>
        </w:rPr>
        <w:t xml:space="preserve">Sběr dat proběhl formou dotazníkového šetření, konkrétně metodou CAWI, tj. prostřednictvím online dotazování v říjnu 2019. Dotazník byl </w:t>
      </w:r>
      <w:r w:rsidR="004C49C5" w:rsidRPr="00B25A22">
        <w:rPr>
          <w:rFonts w:cs="Times New Roman"/>
        </w:rPr>
        <w:t>v</w:t>
      </w:r>
      <w:r w:rsidRPr="00B25A22">
        <w:rPr>
          <w:rFonts w:cs="Times New Roman"/>
        </w:rPr>
        <w:t>ytvořen pracovníky ÚZEI.</w:t>
      </w:r>
    </w:p>
    <w:p w14:paraId="39CF37B1" w14:textId="7EF65821" w:rsidR="00AA3A5F" w:rsidRPr="00B25A22" w:rsidRDefault="00AA3A5F" w:rsidP="004C49C5">
      <w:pPr>
        <w:pStyle w:val="UZEINormaln"/>
        <w:rPr>
          <w:rFonts w:cs="Times New Roman"/>
        </w:rPr>
      </w:pPr>
      <w:r w:rsidRPr="00B25A22">
        <w:rPr>
          <w:rFonts w:cs="Times New Roman"/>
        </w:rPr>
        <w:t xml:space="preserve">Průzkum byl proveden na reprezentativním vzorku spotřebitelů pro ČR. Respondenty byli hlavní či vedlejší nákupčí domácností, kteří byli vybráni na základě kvótního výběru, tak aby reprezentovali sociodemografickou strukturu obyvatel ČR 18+. Shrnutí odpovědí je uvedeno v grafu 2. Výsledky jsou v souladu se zjištěním průzkumu </w:t>
      </w:r>
      <w:proofErr w:type="spellStart"/>
      <w:r w:rsidRPr="00B25A22">
        <w:rPr>
          <w:rFonts w:cs="Times New Roman"/>
        </w:rPr>
        <w:t>GfK</w:t>
      </w:r>
      <w:proofErr w:type="spellEnd"/>
      <w:r w:rsidRPr="00B25A22">
        <w:rPr>
          <w:rFonts w:cs="Times New Roman"/>
        </w:rPr>
        <w:t>. Hypermarkety a supermarkety i diskontní prodejny vykazují vysoké procento nákupčích, a podíl spotřebitelů, kteří zde nikdy nenakupují je 0 %, resp. 4 %. Podíl nenakupujících v ostatních (menších) formátech je s výjimkou specializovaných prodejen vyšší. Nicméně u menších formátů se u určité části spotřebitelů jeví možnost zvýšení objemu jejich nákupů, pokud by se zlepšila jejich dostupnost nebo pokud by zde dostali více informací o výrobci. V případě farmářských trhů a nákupů v místě prodeje takovou ochotu deklarovalo 51 %, resp. 52 % spotřebitelů. U specializovaných prodejen ochotu vyjádřilo 46 % spotřebitelů (graf</w:t>
      </w:r>
      <w:r w:rsidR="004C49C5" w:rsidRPr="00B25A22">
        <w:rPr>
          <w:rFonts w:cs="Times New Roman"/>
        </w:rPr>
        <w:t xml:space="preserve"> 2</w:t>
      </w:r>
      <w:r w:rsidRPr="00B25A22">
        <w:rPr>
          <w:rFonts w:cs="Times New Roman"/>
        </w:rPr>
        <w:t xml:space="preserve">). Budování alternativních prodejních sítí by tak dle deklarace spotřebitelů u části nákupčích našlo odezvu ve zvýšení objemu jejich nákupu. </w:t>
      </w:r>
    </w:p>
    <w:p w14:paraId="5D985AC4" w14:textId="18FF0945" w:rsidR="00AA3A5F" w:rsidRPr="00B25A22" w:rsidRDefault="00AA3A5F" w:rsidP="004C49C5">
      <w:pPr>
        <w:pStyle w:val="UZEIGraf"/>
        <w:rPr>
          <w:rFonts w:eastAsia="Calibri" w:cs="Times New Roman"/>
        </w:rPr>
      </w:pPr>
      <w:bookmarkStart w:id="24" w:name="_Toc81743474"/>
      <w:bookmarkStart w:id="25" w:name="_Toc81743515"/>
      <w:r w:rsidRPr="00B25A22">
        <w:rPr>
          <w:rFonts w:eastAsia="Calibri" w:cs="Times New Roman"/>
        </w:rPr>
        <w:t>Odpověď spotřebitelů na otázku“ Jak často nakupujete potraviny na následujících místech?”</w:t>
      </w:r>
      <w:bookmarkEnd w:id="24"/>
      <w:bookmarkEnd w:id="25"/>
    </w:p>
    <w:p w14:paraId="38DEE666" w14:textId="77777777" w:rsidR="00AA3A5F" w:rsidRPr="00B25A22" w:rsidRDefault="00AA3A5F" w:rsidP="00AA3A5F">
      <w:pPr>
        <w:rPr>
          <w:rFonts w:eastAsia="Calibri" w:cs="Times New Roman"/>
          <w:sz w:val="22"/>
          <w:lang w:val="cs-CZ"/>
        </w:rPr>
      </w:pPr>
      <w:r w:rsidRPr="00B25A22">
        <w:rPr>
          <w:rFonts w:cs="Times New Roman"/>
          <w:noProof/>
          <w:shd w:val="clear" w:color="auto" w:fill="99FF99"/>
          <w:lang w:val="cs-CZ" w:eastAsia="cs-CZ"/>
        </w:rPr>
        <w:drawing>
          <wp:inline distT="0" distB="0" distL="0" distR="0" wp14:anchorId="7D432011" wp14:editId="13322676">
            <wp:extent cx="5760720" cy="3133725"/>
            <wp:effectExtent l="0" t="0" r="11430" b="9525"/>
            <wp:docPr id="6" name="Graf 6">
              <a:extLst xmlns:a="http://schemas.openxmlformats.org/drawingml/2006/main">
                <a:ext uri="{FF2B5EF4-FFF2-40B4-BE49-F238E27FC236}">
                  <a16:creationId xmlns:a16="http://schemas.microsoft.com/office/drawing/2014/main" id="{69FB35B8-B6AF-4EF9-8F15-2BC10F95B9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A399EAF" w14:textId="77777777" w:rsidR="00AA3A5F" w:rsidRPr="00B25A22" w:rsidRDefault="00AA3A5F" w:rsidP="004C49C5">
      <w:pPr>
        <w:pStyle w:val="UZEIZdroj"/>
      </w:pPr>
      <w:r w:rsidRPr="00B25A22">
        <w:t>Pramen: ÚZEI, TU 66/2019.</w:t>
      </w:r>
    </w:p>
    <w:p w14:paraId="6F899249" w14:textId="7FB79AD0" w:rsidR="00AA3A5F" w:rsidRPr="00B25A22" w:rsidRDefault="00AA3A5F" w:rsidP="00AA3A5F">
      <w:pPr>
        <w:spacing w:line="240" w:lineRule="atLeast"/>
        <w:rPr>
          <w:rFonts w:eastAsia="Calibri" w:cs="Times New Roman"/>
          <w:sz w:val="22"/>
          <w:lang w:val="cs-CZ"/>
        </w:rPr>
      </w:pPr>
    </w:p>
    <w:p w14:paraId="41BB0F62" w14:textId="4049E9B5" w:rsidR="004C49C5" w:rsidRPr="00B25A22" w:rsidRDefault="004C49C5" w:rsidP="00AA3A5F">
      <w:pPr>
        <w:spacing w:line="240" w:lineRule="atLeast"/>
        <w:rPr>
          <w:rFonts w:eastAsia="Calibri" w:cs="Times New Roman"/>
          <w:sz w:val="22"/>
          <w:lang w:val="cs-CZ"/>
        </w:rPr>
      </w:pPr>
    </w:p>
    <w:p w14:paraId="6E97AD0D" w14:textId="4BD6C5EE" w:rsidR="004C49C5" w:rsidRPr="00B25A22" w:rsidRDefault="004C49C5" w:rsidP="00AA3A5F">
      <w:pPr>
        <w:spacing w:line="240" w:lineRule="atLeast"/>
        <w:rPr>
          <w:rFonts w:eastAsia="Calibri" w:cs="Times New Roman"/>
          <w:sz w:val="22"/>
          <w:lang w:val="cs-CZ"/>
        </w:rPr>
      </w:pPr>
    </w:p>
    <w:p w14:paraId="09741F32" w14:textId="46DD6B93" w:rsidR="004C49C5" w:rsidRPr="00B25A22" w:rsidRDefault="004C49C5" w:rsidP="00AA3A5F">
      <w:pPr>
        <w:spacing w:line="240" w:lineRule="atLeast"/>
        <w:rPr>
          <w:rFonts w:eastAsia="Calibri" w:cs="Times New Roman"/>
          <w:sz w:val="22"/>
          <w:lang w:val="cs-CZ"/>
        </w:rPr>
      </w:pPr>
    </w:p>
    <w:p w14:paraId="3774B8E6" w14:textId="13E628DF" w:rsidR="004C49C5" w:rsidRPr="00B25A22" w:rsidRDefault="004C49C5" w:rsidP="00AA3A5F">
      <w:pPr>
        <w:spacing w:line="240" w:lineRule="atLeast"/>
        <w:rPr>
          <w:rFonts w:eastAsia="Calibri" w:cs="Times New Roman"/>
          <w:sz w:val="22"/>
          <w:lang w:val="cs-CZ"/>
        </w:rPr>
      </w:pPr>
    </w:p>
    <w:p w14:paraId="7FBABA44" w14:textId="3988B8F1" w:rsidR="004C49C5" w:rsidRPr="00B25A22" w:rsidRDefault="004C49C5" w:rsidP="00AA3A5F">
      <w:pPr>
        <w:spacing w:line="240" w:lineRule="atLeast"/>
        <w:rPr>
          <w:rFonts w:eastAsia="Calibri" w:cs="Times New Roman"/>
          <w:sz w:val="22"/>
          <w:lang w:val="cs-CZ"/>
        </w:rPr>
      </w:pPr>
    </w:p>
    <w:p w14:paraId="4D2BC14E" w14:textId="22A39951" w:rsidR="004C49C5" w:rsidRPr="00B25A22" w:rsidRDefault="004C49C5" w:rsidP="00AA3A5F">
      <w:pPr>
        <w:spacing w:line="240" w:lineRule="atLeast"/>
        <w:rPr>
          <w:rFonts w:eastAsia="Calibri" w:cs="Times New Roman"/>
          <w:sz w:val="22"/>
          <w:lang w:val="cs-CZ"/>
        </w:rPr>
      </w:pPr>
    </w:p>
    <w:p w14:paraId="793D72F1" w14:textId="456F826F" w:rsidR="004C49C5" w:rsidRPr="00B25A22" w:rsidRDefault="004C49C5" w:rsidP="00AA3A5F">
      <w:pPr>
        <w:spacing w:line="240" w:lineRule="atLeast"/>
        <w:rPr>
          <w:rFonts w:eastAsia="Calibri" w:cs="Times New Roman"/>
          <w:sz w:val="22"/>
          <w:lang w:val="cs-CZ"/>
        </w:rPr>
      </w:pPr>
    </w:p>
    <w:p w14:paraId="61EBB1F7" w14:textId="4BB81106" w:rsidR="004C49C5" w:rsidRDefault="004C49C5" w:rsidP="00AA3A5F">
      <w:pPr>
        <w:spacing w:line="240" w:lineRule="atLeast"/>
        <w:rPr>
          <w:rFonts w:eastAsia="Calibri" w:cs="Times New Roman"/>
          <w:sz w:val="22"/>
          <w:lang w:val="cs-CZ"/>
        </w:rPr>
      </w:pPr>
    </w:p>
    <w:p w14:paraId="6F71F050" w14:textId="77777777" w:rsidR="001E17E8" w:rsidRPr="00B25A22" w:rsidRDefault="001E17E8" w:rsidP="00AA3A5F">
      <w:pPr>
        <w:spacing w:line="240" w:lineRule="atLeast"/>
        <w:rPr>
          <w:rFonts w:eastAsia="Calibri" w:cs="Times New Roman"/>
          <w:sz w:val="22"/>
          <w:lang w:val="cs-CZ"/>
        </w:rPr>
      </w:pPr>
    </w:p>
    <w:p w14:paraId="0BBDFE3F" w14:textId="032363C8" w:rsidR="00AA3A5F" w:rsidRPr="00B25A22" w:rsidRDefault="00AA3A5F" w:rsidP="004C49C5">
      <w:pPr>
        <w:pStyle w:val="UZEIGraf"/>
        <w:rPr>
          <w:rFonts w:eastAsia="Calibri" w:cs="Times New Roman"/>
        </w:rPr>
      </w:pPr>
      <w:bookmarkStart w:id="26" w:name="_Toc81743475"/>
      <w:bookmarkStart w:id="27" w:name="_Toc81743516"/>
      <w:r w:rsidRPr="00B25A22">
        <w:rPr>
          <w:rFonts w:eastAsia="Calibri" w:cs="Times New Roman"/>
        </w:rPr>
        <w:lastRenderedPageBreak/>
        <w:t>Odpověď na otázku“</w:t>
      </w:r>
      <w:r w:rsidRPr="00B25A22">
        <w:rPr>
          <w:rFonts w:cs="Times New Roman"/>
        </w:rPr>
        <w:t xml:space="preserve"> </w:t>
      </w:r>
      <w:r w:rsidRPr="00B25A22">
        <w:rPr>
          <w:rFonts w:eastAsia="Calibri" w:cs="Times New Roman"/>
        </w:rPr>
        <w:t>Zvýšila byste objem nákupů v uvedené formě prodeje za uvedených podmínek?”</w:t>
      </w:r>
      <w:bookmarkEnd w:id="26"/>
      <w:bookmarkEnd w:id="27"/>
    </w:p>
    <w:p w14:paraId="12CF76F4" w14:textId="77777777" w:rsidR="00AA3A5F" w:rsidRPr="00B25A22" w:rsidRDefault="00AA3A5F" w:rsidP="00AA3A5F">
      <w:pPr>
        <w:rPr>
          <w:rFonts w:eastAsia="Calibri" w:cs="Times New Roman"/>
          <w:sz w:val="22"/>
          <w:lang w:val="cs-CZ"/>
        </w:rPr>
      </w:pPr>
      <w:r w:rsidRPr="00B25A22">
        <w:rPr>
          <w:rFonts w:cs="Times New Roman"/>
          <w:noProof/>
          <w:shd w:val="clear" w:color="auto" w:fill="FF0000"/>
          <w:lang w:val="cs-CZ" w:eastAsia="cs-CZ"/>
        </w:rPr>
        <w:drawing>
          <wp:inline distT="0" distB="0" distL="0" distR="0" wp14:anchorId="05FA4121" wp14:editId="6CA154AB">
            <wp:extent cx="5848350" cy="3495675"/>
            <wp:effectExtent l="0" t="0" r="0" b="9525"/>
            <wp:docPr id="11" name="Graf 11">
              <a:extLst xmlns:a="http://schemas.openxmlformats.org/drawingml/2006/main">
                <a:ext uri="{FF2B5EF4-FFF2-40B4-BE49-F238E27FC236}">
                  <a16:creationId xmlns:a16="http://schemas.microsoft.com/office/drawing/2014/main" id="{DFBE7244-C16E-4DD3-8E24-AF9F8C63BE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C132DBB" w14:textId="77777777" w:rsidR="00AA3A5F" w:rsidRPr="00B25A22" w:rsidRDefault="00AA3A5F" w:rsidP="006D560F">
      <w:pPr>
        <w:pStyle w:val="UZEIZdroj"/>
      </w:pPr>
      <w:r w:rsidRPr="00B25A22">
        <w:t>Pramen: ÚZEI, TU 66/2019.</w:t>
      </w:r>
    </w:p>
    <w:p w14:paraId="700E997B" w14:textId="77777777" w:rsidR="00AA3A5F" w:rsidRPr="00B25A22" w:rsidRDefault="00AA3A5F" w:rsidP="006D560F">
      <w:pPr>
        <w:pStyle w:val="UZEINormaln"/>
        <w:rPr>
          <w:rFonts w:eastAsia="Calibri" w:cs="Times New Roman"/>
        </w:rPr>
      </w:pPr>
      <w:r w:rsidRPr="00B25A22">
        <w:rPr>
          <w:rFonts w:eastAsia="Calibri" w:cs="Times New Roman"/>
        </w:rPr>
        <w:t>Měření tržních selhání v transmisi cen vykázala následující výsledky.</w:t>
      </w:r>
    </w:p>
    <w:p w14:paraId="7B22E59D" w14:textId="77777777" w:rsidR="00AA3A5F" w:rsidRPr="00B25A22" w:rsidRDefault="00AA3A5F" w:rsidP="006D560F">
      <w:pPr>
        <w:pStyle w:val="UZEINormaln"/>
        <w:rPr>
          <w:rFonts w:eastAsia="Calibri" w:cs="Times New Roman"/>
        </w:rPr>
      </w:pPr>
      <w:r w:rsidRPr="00B25A22">
        <w:rPr>
          <w:rFonts w:eastAsia="Calibri" w:cs="Times New Roman"/>
        </w:rPr>
        <w:t xml:space="preserve">Výzkum v odvětví mléka prokázal, že </w:t>
      </w:r>
      <w:r w:rsidRPr="00B25A22">
        <w:rPr>
          <w:rFonts w:eastAsia="Calibri" w:cs="Times New Roman"/>
          <w:b/>
        </w:rPr>
        <w:t>reakce ceny v navazujícím článku vertikály na cenu předchozího článku je větší v případě cenového růstu než v případě cenového poklesu</w:t>
      </w:r>
      <w:r w:rsidRPr="00B25A22">
        <w:rPr>
          <w:rFonts w:eastAsia="Calibri" w:cs="Times New Roman"/>
        </w:rPr>
        <w:t xml:space="preserve">. To znamená, že pokud odběratelům vzroste nákupní cena, zvyšují svou prodejní cenu více, než ji snižují v případě poklesu dodavatelské ceny. Dalším zjištěním analýzy cenových transmisí v odvětví mléka je zjištění, že </w:t>
      </w:r>
      <w:r w:rsidRPr="00B25A22">
        <w:rPr>
          <w:rFonts w:eastAsia="Calibri" w:cs="Times New Roman"/>
          <w:b/>
        </w:rPr>
        <w:t>přenos CZV na CPV je neelastický</w:t>
      </w:r>
      <w:r w:rsidRPr="00B25A22">
        <w:rPr>
          <w:rFonts w:eastAsia="Calibri" w:cs="Times New Roman"/>
        </w:rPr>
        <w:t>. To je v souladu s běžnou praxí, kdy CZV v podstatě určují odběratelé (zpětně po vyhodnocení úspěšnosti prodeje). O cenovém vyjednávání lze hovořit zřejmě jen v případě prodeje přes silné odbytové organizace.</w:t>
      </w:r>
    </w:p>
    <w:p w14:paraId="04CFA177" w14:textId="77777777" w:rsidR="00AA3A5F" w:rsidRPr="00B25A22" w:rsidRDefault="00AA3A5F" w:rsidP="006D560F">
      <w:pPr>
        <w:pStyle w:val="UZEINormaln"/>
        <w:rPr>
          <w:rFonts w:eastAsia="Calibri" w:cs="Times New Roman"/>
        </w:rPr>
      </w:pPr>
      <w:r w:rsidRPr="00B25A22">
        <w:rPr>
          <w:rFonts w:eastAsia="Calibri" w:cs="Times New Roman"/>
        </w:rPr>
        <w:t xml:space="preserve">V případě vepřového masa a výrobků z vepřového masa výzkum prokázal, že v případě růstu ceny je reakce ve většině případů výraznější. Asymetrie cenového přenosu byla identifikována i pomocí odhadu modelu korekce chyby (VEC model), ve kterém složka korekce chyby ukázala na </w:t>
      </w:r>
      <w:r w:rsidRPr="00B25A22">
        <w:rPr>
          <w:rFonts w:eastAsia="Calibri" w:cs="Times New Roman"/>
          <w:b/>
        </w:rPr>
        <w:t>neidentickou rychlost návratu</w:t>
      </w:r>
      <w:r w:rsidRPr="00B25A22">
        <w:rPr>
          <w:rFonts w:eastAsia="Calibri" w:cs="Times New Roman"/>
        </w:rPr>
        <w:t xml:space="preserve"> k rovnovážnému stavu v </w:t>
      </w:r>
      <w:r w:rsidRPr="00B25A22">
        <w:rPr>
          <w:rFonts w:eastAsia="Calibri" w:cs="Times New Roman"/>
          <w:b/>
        </w:rPr>
        <w:t>případě rostoucích či klesajících cen</w:t>
      </w:r>
      <w:r w:rsidRPr="00B25A22">
        <w:rPr>
          <w:rFonts w:eastAsia="Calibri" w:cs="Times New Roman"/>
        </w:rPr>
        <w:t>. Obchodníci a zpracovatelský průmysl reagují na zvýšení ceny rychleji a s větším rozsahem (SC a CPV se změní o více jednotek), než na snížení ceny. Analýza elasticit cenových transmisí naznačuje, že v případě vepřového masa (vepřové kýty) přenos cen probíhá v </w:t>
      </w:r>
      <w:r w:rsidRPr="00B25A22">
        <w:rPr>
          <w:rFonts w:eastAsia="Calibri" w:cs="Times New Roman"/>
          <w:b/>
        </w:rPr>
        <w:t>nabídkovém směru</w:t>
      </w:r>
      <w:r w:rsidRPr="00B25A22">
        <w:rPr>
          <w:rFonts w:eastAsia="Calibri" w:cs="Times New Roman"/>
        </w:rPr>
        <w:t xml:space="preserve"> (od obchodníka k zemědělci a od zpracovatele k zemědělci). V tomto případě úroveň tržní ceny neurčují zemědělci, ale obchodníci a zpracovatelé. </w:t>
      </w:r>
    </w:p>
    <w:p w14:paraId="2C71F539" w14:textId="77777777" w:rsidR="00AA3A5F" w:rsidRPr="00B25A22" w:rsidRDefault="00AA3A5F" w:rsidP="006D560F">
      <w:pPr>
        <w:pStyle w:val="UZEINormaln"/>
        <w:rPr>
          <w:rFonts w:eastAsia="Calibri" w:cs="Times New Roman"/>
        </w:rPr>
      </w:pPr>
      <w:r w:rsidRPr="00B25A22">
        <w:rPr>
          <w:rFonts w:eastAsia="Calibri" w:cs="Times New Roman"/>
        </w:rPr>
        <w:t xml:space="preserve">U drůbežího masa se analýza prováděla na časové řadě CZV kuřat jatečných, CPV a SC kuřat kuchaných. Určitým omezením bylo to, že nebylo možné provést analýzu na výrobcích s vyšší přidanou hodnotou z důvodu absence cen těchto výrobků. I v případě drůbeže a drůbežího masa reakce CPV na kladnou změnu CZV a reakce SC na kladnou změnu CPV (zvýšení ceny) je výraznější než reakce na zápornou změnu (snížení ceny). </w:t>
      </w:r>
    </w:p>
    <w:p w14:paraId="2AD95EE1" w14:textId="77777777" w:rsidR="00AA3A5F" w:rsidRPr="00B25A22" w:rsidRDefault="00AA3A5F" w:rsidP="006D560F">
      <w:pPr>
        <w:pStyle w:val="UZEINormaln"/>
        <w:rPr>
          <w:rFonts w:eastAsia="Calibri" w:cs="Times New Roman"/>
        </w:rPr>
      </w:pPr>
      <w:r w:rsidRPr="00B25A22">
        <w:rPr>
          <w:rFonts w:eastAsia="Calibri" w:cs="Times New Roman"/>
        </w:rPr>
        <w:t>Dominantní vliv obchodních řetězců se nepodařilo eliminovat.</w:t>
      </w:r>
      <w:r w:rsidRPr="00B25A22">
        <w:rPr>
          <w:rFonts w:eastAsia="Calibri" w:cs="Times New Roman"/>
          <w:b/>
          <w:caps/>
        </w:rPr>
        <w:t xml:space="preserve"> Alternativní formy prodeje</w:t>
      </w:r>
      <w:r w:rsidRPr="00B25A22">
        <w:rPr>
          <w:rFonts w:eastAsia="Calibri" w:cs="Times New Roman"/>
        </w:rPr>
        <w:t xml:space="preserve"> v podobě </w:t>
      </w:r>
      <w:r w:rsidRPr="00B25A22">
        <w:rPr>
          <w:rFonts w:eastAsia="Calibri" w:cs="Times New Roman"/>
          <w:b/>
          <w:caps/>
        </w:rPr>
        <w:t>malo-formátových prodejen a jiných míst</w:t>
      </w:r>
      <w:r w:rsidRPr="00B25A22">
        <w:rPr>
          <w:rFonts w:eastAsia="Calibri" w:cs="Times New Roman"/>
        </w:rPr>
        <w:t xml:space="preserve"> dle </w:t>
      </w:r>
      <w:proofErr w:type="spellStart"/>
      <w:r w:rsidRPr="00B25A22">
        <w:rPr>
          <w:rFonts w:eastAsia="Calibri" w:cs="Times New Roman"/>
        </w:rPr>
        <w:t>GfK</w:t>
      </w:r>
      <w:proofErr w:type="spellEnd"/>
      <w:r w:rsidRPr="00B25A22">
        <w:rPr>
          <w:rFonts w:eastAsia="Calibri" w:cs="Times New Roman"/>
        </w:rPr>
        <w:t xml:space="preserve"> </w:t>
      </w:r>
      <w:r w:rsidRPr="00B25A22">
        <w:rPr>
          <w:rFonts w:eastAsia="Calibri" w:cs="Times New Roman"/>
        </w:rPr>
        <w:lastRenderedPageBreak/>
        <w:t xml:space="preserve">(2017) ustoupily obchodním řetězcům; jako hlavní nákupní místo je dle citovaného zdroje uvádí 10 % až 30 % spotřebitelů. </w:t>
      </w:r>
    </w:p>
    <w:p w14:paraId="7019A90A" w14:textId="77777777" w:rsidR="00AA3A5F" w:rsidRPr="00B25A22" w:rsidRDefault="00AA3A5F" w:rsidP="006D560F">
      <w:pPr>
        <w:pStyle w:val="UZEINormaln"/>
        <w:rPr>
          <w:rFonts w:eastAsia="Calibri" w:cs="Times New Roman"/>
        </w:rPr>
      </w:pPr>
      <w:r w:rsidRPr="00B25A22">
        <w:rPr>
          <w:rFonts w:eastAsia="Calibri" w:cs="Times New Roman"/>
        </w:rPr>
        <w:t xml:space="preserve">Prodej formou </w:t>
      </w:r>
      <w:r w:rsidRPr="00B25A22">
        <w:rPr>
          <w:rFonts w:eastAsia="Calibri" w:cs="Times New Roman"/>
          <w:b/>
          <w:caps/>
        </w:rPr>
        <w:t xml:space="preserve">krátkých dodavatelských řetězců (KDŘ) </w:t>
      </w:r>
      <w:r w:rsidRPr="00B25A22">
        <w:rPr>
          <w:rFonts w:eastAsia="Calibri" w:cs="Times New Roman"/>
        </w:rPr>
        <w:t>je vhodný pro malé a střední podniky</w:t>
      </w:r>
      <w:r w:rsidRPr="00B25A22">
        <w:rPr>
          <w:rStyle w:val="Znakapoznpodarou"/>
          <w:rFonts w:eastAsia="Calibri"/>
        </w:rPr>
        <w:footnoteReference w:id="7"/>
      </w:r>
      <w:r w:rsidRPr="00B25A22">
        <w:rPr>
          <w:rFonts w:eastAsia="Calibri" w:cs="Times New Roman"/>
        </w:rPr>
        <w:t xml:space="preserve">. Segment KDŘ není datově podchycen tak, aby bylo možné konstatovat, do jaké míry se podílí na prodeji potravin v ČR a zda dochází k jeho rozvoji. Dílčí informace lze vyvodit z různých zdrojů. </w:t>
      </w:r>
    </w:p>
    <w:p w14:paraId="2376D387" w14:textId="0093A796" w:rsidR="00AA3A5F" w:rsidRPr="00B25A22" w:rsidRDefault="00AA3A5F" w:rsidP="006D560F">
      <w:pPr>
        <w:pStyle w:val="UZEITaB"/>
        <w:rPr>
          <w:rFonts w:eastAsia="Calibri" w:cs="Times New Roman"/>
        </w:rPr>
      </w:pPr>
      <w:bookmarkStart w:id="28" w:name="_Toc81743440"/>
      <w:r w:rsidRPr="00B25A22">
        <w:rPr>
          <w:rFonts w:eastAsia="Calibri" w:cs="Times New Roman"/>
        </w:rPr>
        <w:t>Obrat v odvětví NACE 10 zpracování potravin</w:t>
      </w:r>
      <w:bookmarkEnd w:id="28"/>
    </w:p>
    <w:tbl>
      <w:tblPr>
        <w:tblW w:w="5087" w:type="pct"/>
        <w:tblLayout w:type="fixed"/>
        <w:tblCellMar>
          <w:left w:w="70" w:type="dxa"/>
          <w:right w:w="70" w:type="dxa"/>
        </w:tblCellMar>
        <w:tblLook w:val="04A0" w:firstRow="1" w:lastRow="0" w:firstColumn="1" w:lastColumn="0" w:noHBand="0" w:noVBand="1"/>
      </w:tblPr>
      <w:tblGrid>
        <w:gridCol w:w="1075"/>
        <w:gridCol w:w="954"/>
        <w:gridCol w:w="586"/>
        <w:gridCol w:w="697"/>
        <w:gridCol w:w="546"/>
        <w:gridCol w:w="546"/>
        <w:gridCol w:w="546"/>
        <w:gridCol w:w="546"/>
        <w:gridCol w:w="546"/>
        <w:gridCol w:w="546"/>
        <w:gridCol w:w="543"/>
        <w:gridCol w:w="543"/>
        <w:gridCol w:w="543"/>
        <w:gridCol w:w="982"/>
      </w:tblGrid>
      <w:tr w:rsidR="00AA3A5F" w:rsidRPr="00B25A22" w14:paraId="61F4E778" w14:textId="77777777" w:rsidTr="00DB6AFE">
        <w:trPr>
          <w:trHeight w:val="298"/>
        </w:trPr>
        <w:tc>
          <w:tcPr>
            <w:tcW w:w="584" w:type="pct"/>
            <w:tcBorders>
              <w:top w:val="single" w:sz="12" w:space="0" w:color="auto"/>
              <w:left w:val="single" w:sz="12" w:space="0" w:color="auto"/>
              <w:bottom w:val="single" w:sz="12" w:space="0" w:color="auto"/>
              <w:right w:val="single" w:sz="4" w:space="0" w:color="auto"/>
            </w:tcBorders>
            <w:shd w:val="clear" w:color="auto" w:fill="auto"/>
            <w:noWrap/>
            <w:vAlign w:val="bottom"/>
            <w:hideMark/>
          </w:tcPr>
          <w:p w14:paraId="209DB54A" w14:textId="77777777" w:rsidR="00AA3A5F" w:rsidRPr="00B25A22" w:rsidRDefault="00AA3A5F" w:rsidP="007A68D5">
            <w:pPr>
              <w:jc w:val="left"/>
              <w:rPr>
                <w:rFonts w:cs="Times New Roman"/>
                <w:b/>
                <w:bCs/>
                <w:color w:val="000000"/>
                <w:sz w:val="20"/>
                <w:szCs w:val="20"/>
                <w:lang w:val="cs-CZ"/>
              </w:rPr>
            </w:pPr>
            <w:bookmarkStart w:id="29" w:name="_Hlk45799203"/>
            <w:bookmarkStart w:id="30" w:name="_Hlk45798613"/>
            <w:r w:rsidRPr="00B25A22">
              <w:rPr>
                <w:rFonts w:cs="Times New Roman"/>
                <w:b/>
                <w:bCs/>
                <w:color w:val="000000"/>
                <w:sz w:val="20"/>
                <w:szCs w:val="20"/>
                <w:lang w:val="cs-CZ"/>
              </w:rPr>
              <w:t> </w:t>
            </w:r>
          </w:p>
        </w:tc>
        <w:tc>
          <w:tcPr>
            <w:tcW w:w="518" w:type="pct"/>
            <w:tcBorders>
              <w:top w:val="single" w:sz="12" w:space="0" w:color="auto"/>
              <w:left w:val="nil"/>
              <w:bottom w:val="single" w:sz="12" w:space="0" w:color="auto"/>
              <w:right w:val="single" w:sz="4" w:space="0" w:color="auto"/>
            </w:tcBorders>
            <w:shd w:val="clear" w:color="auto" w:fill="auto"/>
            <w:noWrap/>
            <w:vAlign w:val="bottom"/>
            <w:hideMark/>
          </w:tcPr>
          <w:p w14:paraId="5D40AA27" w14:textId="77777777" w:rsidR="00AA3A5F" w:rsidRPr="00B25A22" w:rsidRDefault="00AA3A5F" w:rsidP="007A68D5">
            <w:pPr>
              <w:jc w:val="left"/>
              <w:rPr>
                <w:rFonts w:cs="Times New Roman"/>
                <w:b/>
                <w:bCs/>
                <w:color w:val="000000"/>
                <w:sz w:val="20"/>
                <w:szCs w:val="20"/>
                <w:lang w:val="cs-CZ"/>
              </w:rPr>
            </w:pPr>
            <w:r w:rsidRPr="00B25A22">
              <w:rPr>
                <w:rFonts w:cs="Times New Roman"/>
                <w:b/>
                <w:bCs/>
                <w:color w:val="000000"/>
                <w:sz w:val="20"/>
                <w:szCs w:val="20"/>
                <w:lang w:val="cs-CZ"/>
              </w:rPr>
              <w:t> </w:t>
            </w:r>
          </w:p>
        </w:tc>
        <w:tc>
          <w:tcPr>
            <w:tcW w:w="318" w:type="pct"/>
            <w:tcBorders>
              <w:top w:val="single" w:sz="12" w:space="0" w:color="auto"/>
              <w:left w:val="nil"/>
              <w:bottom w:val="single" w:sz="12" w:space="0" w:color="auto"/>
              <w:right w:val="single" w:sz="4" w:space="0" w:color="auto"/>
            </w:tcBorders>
            <w:shd w:val="clear" w:color="auto" w:fill="auto"/>
            <w:noWrap/>
            <w:vAlign w:val="center"/>
            <w:hideMark/>
          </w:tcPr>
          <w:p w14:paraId="14CC84F2"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 </w:t>
            </w:r>
          </w:p>
        </w:tc>
        <w:tc>
          <w:tcPr>
            <w:tcW w:w="379" w:type="pct"/>
            <w:tcBorders>
              <w:top w:val="single" w:sz="12" w:space="0" w:color="auto"/>
              <w:left w:val="nil"/>
              <w:bottom w:val="single" w:sz="12" w:space="0" w:color="auto"/>
              <w:right w:val="single" w:sz="4" w:space="0" w:color="auto"/>
            </w:tcBorders>
            <w:shd w:val="clear" w:color="auto" w:fill="auto"/>
            <w:noWrap/>
            <w:vAlign w:val="center"/>
            <w:hideMark/>
          </w:tcPr>
          <w:p w14:paraId="0514E52D"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2010</w:t>
            </w:r>
          </w:p>
        </w:tc>
        <w:tc>
          <w:tcPr>
            <w:tcW w:w="297" w:type="pct"/>
            <w:tcBorders>
              <w:top w:val="single" w:sz="12" w:space="0" w:color="auto"/>
              <w:left w:val="nil"/>
              <w:bottom w:val="single" w:sz="12" w:space="0" w:color="auto"/>
              <w:right w:val="single" w:sz="4" w:space="0" w:color="auto"/>
            </w:tcBorders>
            <w:shd w:val="clear" w:color="auto" w:fill="auto"/>
            <w:noWrap/>
            <w:vAlign w:val="center"/>
            <w:hideMark/>
          </w:tcPr>
          <w:p w14:paraId="0DA897BD"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2011</w:t>
            </w:r>
          </w:p>
        </w:tc>
        <w:tc>
          <w:tcPr>
            <w:tcW w:w="297" w:type="pct"/>
            <w:tcBorders>
              <w:top w:val="single" w:sz="12" w:space="0" w:color="auto"/>
              <w:left w:val="nil"/>
              <w:bottom w:val="single" w:sz="12" w:space="0" w:color="auto"/>
              <w:right w:val="single" w:sz="4" w:space="0" w:color="auto"/>
            </w:tcBorders>
            <w:shd w:val="clear" w:color="auto" w:fill="auto"/>
            <w:noWrap/>
            <w:vAlign w:val="center"/>
            <w:hideMark/>
          </w:tcPr>
          <w:p w14:paraId="17D1DD78"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2012</w:t>
            </w:r>
          </w:p>
        </w:tc>
        <w:tc>
          <w:tcPr>
            <w:tcW w:w="297" w:type="pct"/>
            <w:tcBorders>
              <w:top w:val="single" w:sz="12" w:space="0" w:color="auto"/>
              <w:left w:val="nil"/>
              <w:bottom w:val="single" w:sz="12" w:space="0" w:color="auto"/>
              <w:right w:val="single" w:sz="4" w:space="0" w:color="auto"/>
            </w:tcBorders>
            <w:shd w:val="clear" w:color="auto" w:fill="auto"/>
            <w:noWrap/>
            <w:vAlign w:val="center"/>
            <w:hideMark/>
          </w:tcPr>
          <w:p w14:paraId="6929F3B9"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2013</w:t>
            </w:r>
          </w:p>
        </w:tc>
        <w:tc>
          <w:tcPr>
            <w:tcW w:w="297" w:type="pct"/>
            <w:tcBorders>
              <w:top w:val="single" w:sz="12" w:space="0" w:color="auto"/>
              <w:left w:val="nil"/>
              <w:bottom w:val="single" w:sz="12" w:space="0" w:color="auto"/>
              <w:right w:val="single" w:sz="4" w:space="0" w:color="auto"/>
            </w:tcBorders>
            <w:shd w:val="clear" w:color="auto" w:fill="auto"/>
            <w:noWrap/>
            <w:vAlign w:val="center"/>
            <w:hideMark/>
          </w:tcPr>
          <w:p w14:paraId="0977E3B7"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2014</w:t>
            </w:r>
          </w:p>
        </w:tc>
        <w:tc>
          <w:tcPr>
            <w:tcW w:w="297" w:type="pct"/>
            <w:tcBorders>
              <w:top w:val="single" w:sz="12" w:space="0" w:color="auto"/>
              <w:left w:val="nil"/>
              <w:bottom w:val="single" w:sz="12" w:space="0" w:color="auto"/>
              <w:right w:val="single" w:sz="4" w:space="0" w:color="auto"/>
            </w:tcBorders>
            <w:shd w:val="clear" w:color="auto" w:fill="auto"/>
            <w:noWrap/>
            <w:vAlign w:val="center"/>
            <w:hideMark/>
          </w:tcPr>
          <w:p w14:paraId="57679F59"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2015</w:t>
            </w:r>
          </w:p>
        </w:tc>
        <w:tc>
          <w:tcPr>
            <w:tcW w:w="297" w:type="pct"/>
            <w:tcBorders>
              <w:top w:val="single" w:sz="12" w:space="0" w:color="auto"/>
              <w:left w:val="nil"/>
              <w:bottom w:val="single" w:sz="12" w:space="0" w:color="auto"/>
              <w:right w:val="single" w:sz="4" w:space="0" w:color="auto"/>
            </w:tcBorders>
            <w:shd w:val="clear" w:color="auto" w:fill="auto"/>
            <w:noWrap/>
            <w:vAlign w:val="center"/>
            <w:hideMark/>
          </w:tcPr>
          <w:p w14:paraId="3D58F831"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2016</w:t>
            </w:r>
          </w:p>
        </w:tc>
        <w:tc>
          <w:tcPr>
            <w:tcW w:w="295" w:type="pct"/>
            <w:tcBorders>
              <w:top w:val="single" w:sz="12" w:space="0" w:color="auto"/>
              <w:left w:val="nil"/>
              <w:bottom w:val="single" w:sz="12" w:space="0" w:color="auto"/>
              <w:right w:val="single" w:sz="12" w:space="0" w:color="auto"/>
            </w:tcBorders>
            <w:shd w:val="clear" w:color="auto" w:fill="auto"/>
            <w:noWrap/>
            <w:vAlign w:val="center"/>
            <w:hideMark/>
          </w:tcPr>
          <w:p w14:paraId="193647FE"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2017</w:t>
            </w:r>
          </w:p>
        </w:tc>
        <w:tc>
          <w:tcPr>
            <w:tcW w:w="295" w:type="pct"/>
            <w:tcBorders>
              <w:top w:val="single" w:sz="12" w:space="0" w:color="auto"/>
              <w:left w:val="single" w:sz="12" w:space="0" w:color="auto"/>
              <w:bottom w:val="single" w:sz="12" w:space="0" w:color="auto"/>
              <w:right w:val="single" w:sz="12" w:space="0" w:color="auto"/>
            </w:tcBorders>
            <w:vAlign w:val="center"/>
          </w:tcPr>
          <w:p w14:paraId="5274AD18"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2018</w:t>
            </w:r>
          </w:p>
        </w:tc>
        <w:tc>
          <w:tcPr>
            <w:tcW w:w="295" w:type="pct"/>
            <w:tcBorders>
              <w:top w:val="single" w:sz="12" w:space="0" w:color="auto"/>
              <w:left w:val="single" w:sz="12" w:space="0" w:color="auto"/>
              <w:bottom w:val="single" w:sz="12" w:space="0" w:color="auto"/>
              <w:right w:val="single" w:sz="12" w:space="0" w:color="auto"/>
            </w:tcBorders>
            <w:vAlign w:val="center"/>
          </w:tcPr>
          <w:p w14:paraId="6121590B"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2019</w:t>
            </w:r>
          </w:p>
        </w:tc>
        <w:tc>
          <w:tcPr>
            <w:tcW w:w="536"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761E757"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 19/10</w:t>
            </w:r>
          </w:p>
        </w:tc>
      </w:tr>
      <w:tr w:rsidR="00AA3A5F" w:rsidRPr="00B25A22" w14:paraId="65966138" w14:textId="77777777" w:rsidTr="00DB6AFE">
        <w:trPr>
          <w:trHeight w:val="298"/>
        </w:trPr>
        <w:tc>
          <w:tcPr>
            <w:tcW w:w="584" w:type="pct"/>
            <w:vMerge w:val="restart"/>
            <w:tcBorders>
              <w:top w:val="single" w:sz="12" w:space="0" w:color="auto"/>
              <w:left w:val="single" w:sz="12" w:space="0" w:color="auto"/>
              <w:bottom w:val="single" w:sz="4" w:space="0" w:color="auto"/>
              <w:right w:val="single" w:sz="4" w:space="0" w:color="auto"/>
            </w:tcBorders>
            <w:shd w:val="clear" w:color="auto" w:fill="auto"/>
            <w:vAlign w:val="center"/>
            <w:hideMark/>
          </w:tcPr>
          <w:p w14:paraId="0B60D1E5"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Čistý obrat za účetní období (tis. Kč)</w:t>
            </w:r>
          </w:p>
        </w:tc>
        <w:tc>
          <w:tcPr>
            <w:tcW w:w="518" w:type="pct"/>
            <w:tcBorders>
              <w:top w:val="single" w:sz="12" w:space="0" w:color="auto"/>
              <w:left w:val="nil"/>
              <w:bottom w:val="single" w:sz="4" w:space="0" w:color="auto"/>
              <w:right w:val="single" w:sz="4" w:space="0" w:color="auto"/>
            </w:tcBorders>
            <w:shd w:val="clear" w:color="auto" w:fill="auto"/>
            <w:noWrap/>
            <w:vAlign w:val="center"/>
            <w:hideMark/>
          </w:tcPr>
          <w:p w14:paraId="1C60F5DE"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celkem</w:t>
            </w:r>
          </w:p>
        </w:tc>
        <w:tc>
          <w:tcPr>
            <w:tcW w:w="318" w:type="pct"/>
            <w:tcBorders>
              <w:top w:val="single" w:sz="12" w:space="0" w:color="auto"/>
              <w:left w:val="nil"/>
              <w:bottom w:val="single" w:sz="4" w:space="0" w:color="auto"/>
              <w:right w:val="single" w:sz="4" w:space="0" w:color="auto"/>
            </w:tcBorders>
            <w:shd w:val="clear" w:color="auto" w:fill="auto"/>
            <w:noWrap/>
            <w:vAlign w:val="center"/>
            <w:hideMark/>
          </w:tcPr>
          <w:p w14:paraId="4EC4F78D"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mil. Kč</w:t>
            </w:r>
          </w:p>
        </w:tc>
        <w:tc>
          <w:tcPr>
            <w:tcW w:w="379" w:type="pct"/>
            <w:tcBorders>
              <w:top w:val="single" w:sz="12" w:space="0" w:color="auto"/>
              <w:left w:val="nil"/>
              <w:bottom w:val="single" w:sz="4" w:space="0" w:color="auto"/>
              <w:right w:val="single" w:sz="4" w:space="0" w:color="auto"/>
            </w:tcBorders>
            <w:shd w:val="clear" w:color="auto" w:fill="auto"/>
            <w:noWrap/>
            <w:vAlign w:val="center"/>
            <w:hideMark/>
          </w:tcPr>
          <w:p w14:paraId="7559B502"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292    </w:t>
            </w:r>
          </w:p>
        </w:tc>
        <w:tc>
          <w:tcPr>
            <w:tcW w:w="297" w:type="pct"/>
            <w:tcBorders>
              <w:top w:val="single" w:sz="12" w:space="0" w:color="auto"/>
              <w:left w:val="nil"/>
              <w:bottom w:val="single" w:sz="4" w:space="0" w:color="auto"/>
              <w:right w:val="single" w:sz="4" w:space="0" w:color="auto"/>
            </w:tcBorders>
            <w:shd w:val="clear" w:color="auto" w:fill="auto"/>
            <w:noWrap/>
            <w:vAlign w:val="center"/>
            <w:hideMark/>
          </w:tcPr>
          <w:p w14:paraId="0D82174C"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301    </w:t>
            </w:r>
          </w:p>
        </w:tc>
        <w:tc>
          <w:tcPr>
            <w:tcW w:w="297" w:type="pct"/>
            <w:tcBorders>
              <w:top w:val="single" w:sz="12" w:space="0" w:color="auto"/>
              <w:left w:val="nil"/>
              <w:bottom w:val="single" w:sz="4" w:space="0" w:color="auto"/>
              <w:right w:val="single" w:sz="4" w:space="0" w:color="auto"/>
            </w:tcBorders>
            <w:shd w:val="clear" w:color="auto" w:fill="auto"/>
            <w:noWrap/>
            <w:vAlign w:val="center"/>
            <w:hideMark/>
          </w:tcPr>
          <w:p w14:paraId="52C484F7"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312    </w:t>
            </w:r>
          </w:p>
        </w:tc>
        <w:tc>
          <w:tcPr>
            <w:tcW w:w="297" w:type="pct"/>
            <w:tcBorders>
              <w:top w:val="single" w:sz="12" w:space="0" w:color="auto"/>
              <w:left w:val="nil"/>
              <w:bottom w:val="single" w:sz="4" w:space="0" w:color="auto"/>
              <w:right w:val="single" w:sz="4" w:space="0" w:color="auto"/>
            </w:tcBorders>
            <w:shd w:val="clear" w:color="auto" w:fill="auto"/>
            <w:noWrap/>
            <w:vAlign w:val="center"/>
            <w:hideMark/>
          </w:tcPr>
          <w:p w14:paraId="582DE713"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312    </w:t>
            </w:r>
          </w:p>
        </w:tc>
        <w:tc>
          <w:tcPr>
            <w:tcW w:w="297" w:type="pct"/>
            <w:tcBorders>
              <w:top w:val="single" w:sz="12" w:space="0" w:color="auto"/>
              <w:left w:val="nil"/>
              <w:bottom w:val="single" w:sz="4" w:space="0" w:color="auto"/>
              <w:right w:val="single" w:sz="4" w:space="0" w:color="auto"/>
            </w:tcBorders>
            <w:shd w:val="clear" w:color="auto" w:fill="auto"/>
            <w:noWrap/>
            <w:vAlign w:val="center"/>
            <w:hideMark/>
          </w:tcPr>
          <w:p w14:paraId="74069A97"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311    </w:t>
            </w:r>
          </w:p>
        </w:tc>
        <w:tc>
          <w:tcPr>
            <w:tcW w:w="297" w:type="pct"/>
            <w:tcBorders>
              <w:top w:val="single" w:sz="12" w:space="0" w:color="auto"/>
              <w:left w:val="nil"/>
              <w:bottom w:val="single" w:sz="4" w:space="0" w:color="auto"/>
              <w:right w:val="single" w:sz="4" w:space="0" w:color="auto"/>
            </w:tcBorders>
            <w:shd w:val="clear" w:color="auto" w:fill="auto"/>
            <w:noWrap/>
            <w:vAlign w:val="center"/>
            <w:hideMark/>
          </w:tcPr>
          <w:p w14:paraId="3C659921"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310    </w:t>
            </w:r>
          </w:p>
        </w:tc>
        <w:tc>
          <w:tcPr>
            <w:tcW w:w="297" w:type="pct"/>
            <w:tcBorders>
              <w:top w:val="single" w:sz="12" w:space="0" w:color="auto"/>
              <w:left w:val="nil"/>
              <w:bottom w:val="single" w:sz="4" w:space="0" w:color="auto"/>
              <w:right w:val="single" w:sz="4" w:space="0" w:color="auto"/>
            </w:tcBorders>
            <w:shd w:val="clear" w:color="auto" w:fill="auto"/>
            <w:noWrap/>
            <w:vAlign w:val="center"/>
            <w:hideMark/>
          </w:tcPr>
          <w:p w14:paraId="20B04DA6"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298    </w:t>
            </w:r>
          </w:p>
        </w:tc>
        <w:tc>
          <w:tcPr>
            <w:tcW w:w="295" w:type="pct"/>
            <w:tcBorders>
              <w:top w:val="single" w:sz="12" w:space="0" w:color="auto"/>
              <w:left w:val="nil"/>
              <w:bottom w:val="single" w:sz="4" w:space="0" w:color="auto"/>
              <w:right w:val="single" w:sz="12" w:space="0" w:color="auto"/>
            </w:tcBorders>
            <w:shd w:val="clear" w:color="auto" w:fill="auto"/>
            <w:noWrap/>
            <w:vAlign w:val="center"/>
            <w:hideMark/>
          </w:tcPr>
          <w:p w14:paraId="269F97CC"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308    </w:t>
            </w:r>
          </w:p>
        </w:tc>
        <w:tc>
          <w:tcPr>
            <w:tcW w:w="295" w:type="pct"/>
            <w:tcBorders>
              <w:top w:val="single" w:sz="12" w:space="0" w:color="auto"/>
              <w:left w:val="single" w:sz="12" w:space="0" w:color="auto"/>
              <w:bottom w:val="single" w:sz="4" w:space="0" w:color="auto"/>
              <w:right w:val="single" w:sz="12" w:space="0" w:color="auto"/>
            </w:tcBorders>
            <w:vAlign w:val="bottom"/>
          </w:tcPr>
          <w:p w14:paraId="538F3351"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312</w:t>
            </w:r>
          </w:p>
        </w:tc>
        <w:tc>
          <w:tcPr>
            <w:tcW w:w="295" w:type="pct"/>
            <w:tcBorders>
              <w:top w:val="single" w:sz="12" w:space="0" w:color="auto"/>
              <w:left w:val="single" w:sz="12" w:space="0" w:color="auto"/>
              <w:bottom w:val="single" w:sz="4" w:space="0" w:color="auto"/>
              <w:right w:val="single" w:sz="12" w:space="0" w:color="auto"/>
            </w:tcBorders>
            <w:vAlign w:val="bottom"/>
          </w:tcPr>
          <w:p w14:paraId="37B08BD5"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332</w:t>
            </w:r>
          </w:p>
        </w:tc>
        <w:tc>
          <w:tcPr>
            <w:tcW w:w="536" w:type="pct"/>
            <w:tcBorders>
              <w:top w:val="single" w:sz="12" w:space="0" w:color="auto"/>
              <w:left w:val="single" w:sz="12" w:space="0" w:color="auto"/>
              <w:bottom w:val="single" w:sz="4" w:space="0" w:color="auto"/>
              <w:right w:val="single" w:sz="12" w:space="0" w:color="auto"/>
            </w:tcBorders>
            <w:shd w:val="clear" w:color="auto" w:fill="auto"/>
            <w:noWrap/>
            <w:vAlign w:val="bottom"/>
            <w:hideMark/>
          </w:tcPr>
          <w:p w14:paraId="0AF14951"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113,8</w:t>
            </w:r>
          </w:p>
        </w:tc>
      </w:tr>
      <w:tr w:rsidR="00AA3A5F" w:rsidRPr="00B25A22" w14:paraId="3F1352C4" w14:textId="77777777" w:rsidTr="00DB6AFE">
        <w:trPr>
          <w:trHeight w:val="298"/>
        </w:trPr>
        <w:tc>
          <w:tcPr>
            <w:tcW w:w="584" w:type="pct"/>
            <w:vMerge/>
            <w:tcBorders>
              <w:top w:val="single" w:sz="4" w:space="0" w:color="auto"/>
              <w:left w:val="single" w:sz="12" w:space="0" w:color="auto"/>
              <w:bottom w:val="single" w:sz="4" w:space="0" w:color="auto"/>
              <w:right w:val="single" w:sz="4" w:space="0" w:color="auto"/>
            </w:tcBorders>
            <w:vAlign w:val="center"/>
            <w:hideMark/>
          </w:tcPr>
          <w:p w14:paraId="551C9568" w14:textId="77777777" w:rsidR="00AA3A5F" w:rsidRPr="00B25A22" w:rsidRDefault="00AA3A5F" w:rsidP="007A68D5">
            <w:pPr>
              <w:jc w:val="left"/>
              <w:rPr>
                <w:rFonts w:cs="Times New Roman"/>
                <w:color w:val="000000"/>
                <w:sz w:val="20"/>
                <w:szCs w:val="20"/>
                <w:lang w:val="cs-CZ"/>
              </w:rPr>
            </w:pPr>
          </w:p>
        </w:tc>
        <w:tc>
          <w:tcPr>
            <w:tcW w:w="518" w:type="pct"/>
            <w:tcBorders>
              <w:top w:val="single" w:sz="4" w:space="0" w:color="auto"/>
              <w:left w:val="nil"/>
              <w:bottom w:val="single" w:sz="4" w:space="0" w:color="auto"/>
              <w:right w:val="single" w:sz="4" w:space="0" w:color="auto"/>
            </w:tcBorders>
            <w:shd w:val="clear" w:color="auto" w:fill="auto"/>
            <w:noWrap/>
            <w:vAlign w:val="center"/>
            <w:hideMark/>
          </w:tcPr>
          <w:p w14:paraId="449C9E7B"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malé podniky</w:t>
            </w:r>
          </w:p>
        </w:tc>
        <w:tc>
          <w:tcPr>
            <w:tcW w:w="318" w:type="pct"/>
            <w:tcBorders>
              <w:top w:val="single" w:sz="4" w:space="0" w:color="auto"/>
              <w:left w:val="nil"/>
              <w:bottom w:val="single" w:sz="4" w:space="0" w:color="auto"/>
              <w:right w:val="single" w:sz="4" w:space="0" w:color="auto"/>
            </w:tcBorders>
            <w:shd w:val="clear" w:color="auto" w:fill="auto"/>
            <w:noWrap/>
            <w:vAlign w:val="center"/>
            <w:hideMark/>
          </w:tcPr>
          <w:p w14:paraId="4778BD82"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mil. Kč</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14:paraId="7E0B027C"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66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076B3C39"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64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37F1FCD9"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63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597DD5C4"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72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4B7E9E3D"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65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5389626D"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63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5891C863"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63    </w:t>
            </w:r>
          </w:p>
        </w:tc>
        <w:tc>
          <w:tcPr>
            <w:tcW w:w="295" w:type="pct"/>
            <w:tcBorders>
              <w:top w:val="single" w:sz="4" w:space="0" w:color="auto"/>
              <w:left w:val="nil"/>
              <w:bottom w:val="single" w:sz="4" w:space="0" w:color="auto"/>
              <w:right w:val="single" w:sz="12" w:space="0" w:color="auto"/>
            </w:tcBorders>
            <w:shd w:val="clear" w:color="auto" w:fill="auto"/>
            <w:noWrap/>
            <w:vAlign w:val="center"/>
            <w:hideMark/>
          </w:tcPr>
          <w:p w14:paraId="6BC1612B"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62    </w:t>
            </w:r>
          </w:p>
        </w:tc>
        <w:tc>
          <w:tcPr>
            <w:tcW w:w="295" w:type="pct"/>
            <w:tcBorders>
              <w:top w:val="single" w:sz="4" w:space="0" w:color="auto"/>
              <w:left w:val="single" w:sz="12" w:space="0" w:color="auto"/>
              <w:bottom w:val="single" w:sz="4" w:space="0" w:color="auto"/>
              <w:right w:val="single" w:sz="12" w:space="0" w:color="auto"/>
            </w:tcBorders>
            <w:vAlign w:val="bottom"/>
          </w:tcPr>
          <w:p w14:paraId="74B99B57"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61</w:t>
            </w:r>
          </w:p>
        </w:tc>
        <w:tc>
          <w:tcPr>
            <w:tcW w:w="295" w:type="pct"/>
            <w:tcBorders>
              <w:top w:val="single" w:sz="4" w:space="0" w:color="auto"/>
              <w:left w:val="single" w:sz="12" w:space="0" w:color="auto"/>
              <w:bottom w:val="single" w:sz="4" w:space="0" w:color="auto"/>
              <w:right w:val="single" w:sz="12" w:space="0" w:color="auto"/>
            </w:tcBorders>
            <w:vAlign w:val="bottom"/>
          </w:tcPr>
          <w:p w14:paraId="0F894807"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84</w:t>
            </w:r>
          </w:p>
        </w:tc>
        <w:tc>
          <w:tcPr>
            <w:tcW w:w="536" w:type="pct"/>
            <w:tcBorders>
              <w:top w:val="single" w:sz="4" w:space="0" w:color="auto"/>
              <w:left w:val="single" w:sz="12" w:space="0" w:color="auto"/>
              <w:bottom w:val="single" w:sz="4" w:space="0" w:color="auto"/>
              <w:right w:val="single" w:sz="12" w:space="0" w:color="auto"/>
            </w:tcBorders>
            <w:shd w:val="clear" w:color="auto" w:fill="auto"/>
            <w:noWrap/>
            <w:vAlign w:val="bottom"/>
            <w:hideMark/>
          </w:tcPr>
          <w:p w14:paraId="209CEBEB"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128,3</w:t>
            </w:r>
          </w:p>
        </w:tc>
      </w:tr>
      <w:tr w:rsidR="00AA3A5F" w:rsidRPr="00B25A22" w14:paraId="5A49A0DC" w14:textId="77777777" w:rsidTr="00DB6AFE">
        <w:trPr>
          <w:trHeight w:val="298"/>
        </w:trPr>
        <w:tc>
          <w:tcPr>
            <w:tcW w:w="584" w:type="pct"/>
            <w:vMerge/>
            <w:tcBorders>
              <w:top w:val="single" w:sz="4" w:space="0" w:color="auto"/>
              <w:left w:val="single" w:sz="12" w:space="0" w:color="auto"/>
              <w:bottom w:val="single" w:sz="4" w:space="0" w:color="auto"/>
              <w:right w:val="single" w:sz="4" w:space="0" w:color="auto"/>
            </w:tcBorders>
            <w:vAlign w:val="center"/>
            <w:hideMark/>
          </w:tcPr>
          <w:p w14:paraId="635AEC1D" w14:textId="77777777" w:rsidR="00AA3A5F" w:rsidRPr="00B25A22" w:rsidRDefault="00AA3A5F" w:rsidP="007A68D5">
            <w:pPr>
              <w:jc w:val="left"/>
              <w:rPr>
                <w:rFonts w:cs="Times New Roman"/>
                <w:color w:val="000000"/>
                <w:sz w:val="20"/>
                <w:szCs w:val="20"/>
                <w:lang w:val="cs-CZ"/>
              </w:rPr>
            </w:pPr>
          </w:p>
        </w:tc>
        <w:tc>
          <w:tcPr>
            <w:tcW w:w="518" w:type="pct"/>
            <w:tcBorders>
              <w:top w:val="single" w:sz="4" w:space="0" w:color="auto"/>
              <w:left w:val="nil"/>
              <w:bottom w:val="single" w:sz="4" w:space="0" w:color="auto"/>
              <w:right w:val="single" w:sz="4" w:space="0" w:color="auto"/>
            </w:tcBorders>
            <w:shd w:val="clear" w:color="auto" w:fill="auto"/>
            <w:noWrap/>
            <w:vAlign w:val="center"/>
            <w:hideMark/>
          </w:tcPr>
          <w:p w14:paraId="3220F63E"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střední podniky</w:t>
            </w:r>
          </w:p>
        </w:tc>
        <w:tc>
          <w:tcPr>
            <w:tcW w:w="318" w:type="pct"/>
            <w:tcBorders>
              <w:top w:val="single" w:sz="4" w:space="0" w:color="auto"/>
              <w:left w:val="nil"/>
              <w:bottom w:val="single" w:sz="4" w:space="0" w:color="auto"/>
              <w:right w:val="single" w:sz="4" w:space="0" w:color="auto"/>
            </w:tcBorders>
            <w:shd w:val="clear" w:color="auto" w:fill="auto"/>
            <w:noWrap/>
            <w:vAlign w:val="center"/>
            <w:hideMark/>
          </w:tcPr>
          <w:p w14:paraId="35937CF8"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mil. Kč</w:t>
            </w: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14:paraId="762E04C4"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114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5E79C8C4"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125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0117E0E5"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126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0C1B74EE"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131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146189BC"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135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7CEDA3E8"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136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14:paraId="43B60317"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125    </w:t>
            </w:r>
          </w:p>
        </w:tc>
        <w:tc>
          <w:tcPr>
            <w:tcW w:w="295" w:type="pct"/>
            <w:tcBorders>
              <w:top w:val="single" w:sz="4" w:space="0" w:color="auto"/>
              <w:left w:val="nil"/>
              <w:bottom w:val="single" w:sz="4" w:space="0" w:color="auto"/>
              <w:right w:val="single" w:sz="12" w:space="0" w:color="auto"/>
            </w:tcBorders>
            <w:shd w:val="clear" w:color="auto" w:fill="auto"/>
            <w:noWrap/>
            <w:vAlign w:val="center"/>
            <w:hideMark/>
          </w:tcPr>
          <w:p w14:paraId="38A158B5"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129    </w:t>
            </w:r>
          </w:p>
        </w:tc>
        <w:tc>
          <w:tcPr>
            <w:tcW w:w="295" w:type="pct"/>
            <w:tcBorders>
              <w:top w:val="single" w:sz="4" w:space="0" w:color="auto"/>
              <w:left w:val="single" w:sz="12" w:space="0" w:color="auto"/>
              <w:bottom w:val="single" w:sz="4" w:space="0" w:color="auto"/>
              <w:right w:val="single" w:sz="12" w:space="0" w:color="auto"/>
            </w:tcBorders>
            <w:vAlign w:val="bottom"/>
          </w:tcPr>
          <w:p w14:paraId="20D4D8F2"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130</w:t>
            </w:r>
          </w:p>
        </w:tc>
        <w:tc>
          <w:tcPr>
            <w:tcW w:w="295" w:type="pct"/>
            <w:tcBorders>
              <w:top w:val="single" w:sz="4" w:space="0" w:color="auto"/>
              <w:left w:val="single" w:sz="12" w:space="0" w:color="auto"/>
              <w:bottom w:val="single" w:sz="4" w:space="0" w:color="auto"/>
              <w:right w:val="single" w:sz="12" w:space="0" w:color="auto"/>
            </w:tcBorders>
            <w:vAlign w:val="bottom"/>
          </w:tcPr>
          <w:p w14:paraId="20937071"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118</w:t>
            </w:r>
          </w:p>
        </w:tc>
        <w:tc>
          <w:tcPr>
            <w:tcW w:w="536" w:type="pct"/>
            <w:tcBorders>
              <w:top w:val="single" w:sz="4" w:space="0" w:color="auto"/>
              <w:left w:val="single" w:sz="12" w:space="0" w:color="auto"/>
              <w:bottom w:val="single" w:sz="4" w:space="0" w:color="auto"/>
              <w:right w:val="single" w:sz="12" w:space="0" w:color="auto"/>
            </w:tcBorders>
            <w:shd w:val="clear" w:color="auto" w:fill="auto"/>
            <w:noWrap/>
            <w:vAlign w:val="bottom"/>
            <w:hideMark/>
          </w:tcPr>
          <w:p w14:paraId="534D5F30"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103,3</w:t>
            </w:r>
          </w:p>
        </w:tc>
      </w:tr>
      <w:tr w:rsidR="00AA3A5F" w:rsidRPr="00B25A22" w14:paraId="36AB759F" w14:textId="77777777" w:rsidTr="00DB6AFE">
        <w:trPr>
          <w:trHeight w:val="298"/>
        </w:trPr>
        <w:tc>
          <w:tcPr>
            <w:tcW w:w="584" w:type="pct"/>
            <w:vMerge/>
            <w:tcBorders>
              <w:top w:val="single" w:sz="4" w:space="0" w:color="auto"/>
              <w:left w:val="single" w:sz="12" w:space="0" w:color="auto"/>
              <w:bottom w:val="single" w:sz="12" w:space="0" w:color="auto"/>
              <w:right w:val="single" w:sz="4" w:space="0" w:color="auto"/>
            </w:tcBorders>
            <w:vAlign w:val="center"/>
            <w:hideMark/>
          </w:tcPr>
          <w:p w14:paraId="55ACEB64" w14:textId="77777777" w:rsidR="00AA3A5F" w:rsidRPr="00B25A22" w:rsidRDefault="00AA3A5F" w:rsidP="007A68D5">
            <w:pPr>
              <w:jc w:val="left"/>
              <w:rPr>
                <w:rFonts w:cs="Times New Roman"/>
                <w:color w:val="000000"/>
                <w:sz w:val="20"/>
                <w:szCs w:val="20"/>
                <w:lang w:val="cs-CZ"/>
              </w:rPr>
            </w:pPr>
          </w:p>
        </w:tc>
        <w:tc>
          <w:tcPr>
            <w:tcW w:w="518" w:type="pct"/>
            <w:tcBorders>
              <w:top w:val="single" w:sz="4" w:space="0" w:color="auto"/>
              <w:left w:val="nil"/>
              <w:bottom w:val="single" w:sz="12" w:space="0" w:color="auto"/>
              <w:right w:val="single" w:sz="4" w:space="0" w:color="auto"/>
            </w:tcBorders>
            <w:shd w:val="clear" w:color="auto" w:fill="auto"/>
            <w:noWrap/>
            <w:vAlign w:val="center"/>
            <w:hideMark/>
          </w:tcPr>
          <w:p w14:paraId="65CF4281"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MSP</w:t>
            </w:r>
          </w:p>
        </w:tc>
        <w:tc>
          <w:tcPr>
            <w:tcW w:w="318" w:type="pct"/>
            <w:tcBorders>
              <w:top w:val="single" w:sz="4" w:space="0" w:color="auto"/>
              <w:left w:val="nil"/>
              <w:bottom w:val="single" w:sz="12" w:space="0" w:color="auto"/>
              <w:right w:val="single" w:sz="4" w:space="0" w:color="auto"/>
            </w:tcBorders>
            <w:shd w:val="clear" w:color="auto" w:fill="auto"/>
            <w:noWrap/>
            <w:vAlign w:val="center"/>
            <w:hideMark/>
          </w:tcPr>
          <w:p w14:paraId="5B372D46"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mil. Kč</w:t>
            </w:r>
          </w:p>
        </w:tc>
        <w:tc>
          <w:tcPr>
            <w:tcW w:w="379" w:type="pct"/>
            <w:tcBorders>
              <w:top w:val="single" w:sz="4" w:space="0" w:color="auto"/>
              <w:left w:val="nil"/>
              <w:bottom w:val="single" w:sz="12" w:space="0" w:color="auto"/>
              <w:right w:val="single" w:sz="4" w:space="0" w:color="auto"/>
            </w:tcBorders>
            <w:shd w:val="clear" w:color="auto" w:fill="auto"/>
            <w:noWrap/>
            <w:vAlign w:val="center"/>
            <w:hideMark/>
          </w:tcPr>
          <w:p w14:paraId="6ED0AB2C"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180    </w:t>
            </w:r>
          </w:p>
        </w:tc>
        <w:tc>
          <w:tcPr>
            <w:tcW w:w="297" w:type="pct"/>
            <w:tcBorders>
              <w:top w:val="single" w:sz="4" w:space="0" w:color="auto"/>
              <w:left w:val="nil"/>
              <w:bottom w:val="single" w:sz="12" w:space="0" w:color="auto"/>
              <w:right w:val="single" w:sz="4" w:space="0" w:color="auto"/>
            </w:tcBorders>
            <w:shd w:val="clear" w:color="auto" w:fill="auto"/>
            <w:noWrap/>
            <w:vAlign w:val="center"/>
            <w:hideMark/>
          </w:tcPr>
          <w:p w14:paraId="5643A188"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188    </w:t>
            </w:r>
          </w:p>
        </w:tc>
        <w:tc>
          <w:tcPr>
            <w:tcW w:w="297" w:type="pct"/>
            <w:tcBorders>
              <w:top w:val="single" w:sz="4" w:space="0" w:color="auto"/>
              <w:left w:val="nil"/>
              <w:bottom w:val="single" w:sz="12" w:space="0" w:color="auto"/>
              <w:right w:val="single" w:sz="4" w:space="0" w:color="auto"/>
            </w:tcBorders>
            <w:shd w:val="clear" w:color="auto" w:fill="auto"/>
            <w:noWrap/>
            <w:vAlign w:val="center"/>
            <w:hideMark/>
          </w:tcPr>
          <w:p w14:paraId="7B98C3A2"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188    </w:t>
            </w:r>
          </w:p>
        </w:tc>
        <w:tc>
          <w:tcPr>
            <w:tcW w:w="297" w:type="pct"/>
            <w:tcBorders>
              <w:top w:val="single" w:sz="4" w:space="0" w:color="auto"/>
              <w:left w:val="nil"/>
              <w:bottom w:val="single" w:sz="12" w:space="0" w:color="auto"/>
              <w:right w:val="single" w:sz="4" w:space="0" w:color="auto"/>
            </w:tcBorders>
            <w:shd w:val="clear" w:color="auto" w:fill="auto"/>
            <w:noWrap/>
            <w:vAlign w:val="center"/>
            <w:hideMark/>
          </w:tcPr>
          <w:p w14:paraId="2E9606E7"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204    </w:t>
            </w:r>
          </w:p>
        </w:tc>
        <w:tc>
          <w:tcPr>
            <w:tcW w:w="297" w:type="pct"/>
            <w:tcBorders>
              <w:top w:val="single" w:sz="4" w:space="0" w:color="auto"/>
              <w:left w:val="nil"/>
              <w:bottom w:val="single" w:sz="12" w:space="0" w:color="auto"/>
              <w:right w:val="single" w:sz="4" w:space="0" w:color="auto"/>
            </w:tcBorders>
            <w:shd w:val="clear" w:color="auto" w:fill="auto"/>
            <w:noWrap/>
            <w:vAlign w:val="center"/>
            <w:hideMark/>
          </w:tcPr>
          <w:p w14:paraId="4C9398DE"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200    </w:t>
            </w:r>
          </w:p>
        </w:tc>
        <w:tc>
          <w:tcPr>
            <w:tcW w:w="297" w:type="pct"/>
            <w:tcBorders>
              <w:top w:val="single" w:sz="4" w:space="0" w:color="auto"/>
              <w:left w:val="nil"/>
              <w:bottom w:val="single" w:sz="12" w:space="0" w:color="auto"/>
              <w:right w:val="single" w:sz="4" w:space="0" w:color="auto"/>
            </w:tcBorders>
            <w:shd w:val="clear" w:color="auto" w:fill="auto"/>
            <w:noWrap/>
            <w:vAlign w:val="center"/>
            <w:hideMark/>
          </w:tcPr>
          <w:p w14:paraId="555C6B64"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199    </w:t>
            </w:r>
          </w:p>
        </w:tc>
        <w:tc>
          <w:tcPr>
            <w:tcW w:w="297" w:type="pct"/>
            <w:tcBorders>
              <w:top w:val="single" w:sz="4" w:space="0" w:color="auto"/>
              <w:left w:val="nil"/>
              <w:bottom w:val="single" w:sz="12" w:space="0" w:color="auto"/>
              <w:right w:val="single" w:sz="4" w:space="0" w:color="auto"/>
            </w:tcBorders>
            <w:shd w:val="clear" w:color="auto" w:fill="auto"/>
            <w:noWrap/>
            <w:vAlign w:val="center"/>
            <w:hideMark/>
          </w:tcPr>
          <w:p w14:paraId="5590C700"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188    </w:t>
            </w:r>
          </w:p>
        </w:tc>
        <w:tc>
          <w:tcPr>
            <w:tcW w:w="295" w:type="pct"/>
            <w:tcBorders>
              <w:top w:val="single" w:sz="4" w:space="0" w:color="auto"/>
              <w:left w:val="nil"/>
              <w:bottom w:val="single" w:sz="12" w:space="0" w:color="auto"/>
              <w:right w:val="single" w:sz="12" w:space="0" w:color="auto"/>
            </w:tcBorders>
            <w:shd w:val="clear" w:color="auto" w:fill="auto"/>
            <w:noWrap/>
            <w:vAlign w:val="center"/>
            <w:hideMark/>
          </w:tcPr>
          <w:p w14:paraId="2E2F2584"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 xml:space="preserve">         191    </w:t>
            </w:r>
          </w:p>
        </w:tc>
        <w:tc>
          <w:tcPr>
            <w:tcW w:w="295" w:type="pct"/>
            <w:tcBorders>
              <w:top w:val="single" w:sz="4" w:space="0" w:color="auto"/>
              <w:left w:val="single" w:sz="12" w:space="0" w:color="auto"/>
              <w:bottom w:val="single" w:sz="12" w:space="0" w:color="auto"/>
              <w:right w:val="single" w:sz="12" w:space="0" w:color="auto"/>
            </w:tcBorders>
            <w:vAlign w:val="bottom"/>
          </w:tcPr>
          <w:p w14:paraId="61BEFC9D"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191</w:t>
            </w:r>
          </w:p>
        </w:tc>
        <w:tc>
          <w:tcPr>
            <w:tcW w:w="295" w:type="pct"/>
            <w:tcBorders>
              <w:top w:val="single" w:sz="4" w:space="0" w:color="auto"/>
              <w:left w:val="single" w:sz="12" w:space="0" w:color="auto"/>
              <w:bottom w:val="single" w:sz="12" w:space="0" w:color="auto"/>
              <w:right w:val="single" w:sz="12" w:space="0" w:color="auto"/>
            </w:tcBorders>
            <w:vAlign w:val="bottom"/>
          </w:tcPr>
          <w:p w14:paraId="76EDEDB2"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202</w:t>
            </w:r>
          </w:p>
        </w:tc>
        <w:tc>
          <w:tcPr>
            <w:tcW w:w="536" w:type="pct"/>
            <w:tcBorders>
              <w:top w:val="single" w:sz="4" w:space="0" w:color="auto"/>
              <w:left w:val="single" w:sz="12" w:space="0" w:color="auto"/>
              <w:bottom w:val="single" w:sz="12" w:space="0" w:color="auto"/>
              <w:right w:val="single" w:sz="12" w:space="0" w:color="auto"/>
            </w:tcBorders>
            <w:shd w:val="clear" w:color="auto" w:fill="auto"/>
            <w:noWrap/>
            <w:vAlign w:val="bottom"/>
            <w:hideMark/>
          </w:tcPr>
          <w:p w14:paraId="20C4BDA0"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112,4</w:t>
            </w:r>
          </w:p>
        </w:tc>
      </w:tr>
      <w:tr w:rsidR="00AA3A5F" w:rsidRPr="00B25A22" w14:paraId="5310AA31" w14:textId="77777777" w:rsidTr="00DB6AFE">
        <w:trPr>
          <w:trHeight w:val="298"/>
        </w:trPr>
        <w:tc>
          <w:tcPr>
            <w:tcW w:w="584" w:type="pct"/>
            <w:vMerge w:val="restart"/>
            <w:tcBorders>
              <w:top w:val="single" w:sz="12" w:space="0" w:color="auto"/>
              <w:left w:val="single" w:sz="12" w:space="0" w:color="auto"/>
              <w:bottom w:val="single" w:sz="8" w:space="0" w:color="000000"/>
              <w:right w:val="single" w:sz="4" w:space="0" w:color="auto"/>
            </w:tcBorders>
            <w:shd w:val="clear" w:color="auto" w:fill="auto"/>
            <w:vAlign w:val="center"/>
            <w:hideMark/>
          </w:tcPr>
          <w:p w14:paraId="6ACC2E13"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Podíl na obratu odvětví</w:t>
            </w:r>
          </w:p>
        </w:tc>
        <w:tc>
          <w:tcPr>
            <w:tcW w:w="518" w:type="pct"/>
            <w:tcBorders>
              <w:top w:val="single" w:sz="12" w:space="0" w:color="auto"/>
              <w:left w:val="nil"/>
              <w:bottom w:val="single" w:sz="4" w:space="0" w:color="auto"/>
              <w:right w:val="single" w:sz="4" w:space="0" w:color="auto"/>
            </w:tcBorders>
            <w:shd w:val="clear" w:color="auto" w:fill="auto"/>
            <w:noWrap/>
            <w:vAlign w:val="center"/>
            <w:hideMark/>
          </w:tcPr>
          <w:p w14:paraId="36107C86"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malé podniky</w:t>
            </w:r>
          </w:p>
        </w:tc>
        <w:tc>
          <w:tcPr>
            <w:tcW w:w="318" w:type="pct"/>
            <w:tcBorders>
              <w:top w:val="single" w:sz="12" w:space="0" w:color="auto"/>
              <w:left w:val="nil"/>
              <w:bottom w:val="single" w:sz="4" w:space="0" w:color="auto"/>
              <w:right w:val="single" w:sz="4" w:space="0" w:color="auto"/>
            </w:tcBorders>
            <w:shd w:val="clear" w:color="auto" w:fill="auto"/>
            <w:noWrap/>
            <w:vAlign w:val="center"/>
            <w:hideMark/>
          </w:tcPr>
          <w:p w14:paraId="3185F0A1"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w:t>
            </w:r>
          </w:p>
        </w:tc>
        <w:tc>
          <w:tcPr>
            <w:tcW w:w="379" w:type="pct"/>
            <w:tcBorders>
              <w:top w:val="single" w:sz="12" w:space="0" w:color="auto"/>
              <w:left w:val="nil"/>
              <w:bottom w:val="single" w:sz="4" w:space="0" w:color="auto"/>
              <w:right w:val="single" w:sz="4" w:space="0" w:color="auto"/>
            </w:tcBorders>
            <w:shd w:val="clear" w:color="auto" w:fill="auto"/>
            <w:noWrap/>
            <w:vAlign w:val="bottom"/>
            <w:hideMark/>
          </w:tcPr>
          <w:p w14:paraId="7A6D230E"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22,4</w:t>
            </w:r>
          </w:p>
        </w:tc>
        <w:tc>
          <w:tcPr>
            <w:tcW w:w="297" w:type="pct"/>
            <w:tcBorders>
              <w:top w:val="single" w:sz="12" w:space="0" w:color="auto"/>
              <w:left w:val="nil"/>
              <w:bottom w:val="single" w:sz="4" w:space="0" w:color="auto"/>
              <w:right w:val="single" w:sz="4" w:space="0" w:color="auto"/>
            </w:tcBorders>
            <w:shd w:val="clear" w:color="auto" w:fill="auto"/>
            <w:noWrap/>
            <w:vAlign w:val="bottom"/>
            <w:hideMark/>
          </w:tcPr>
          <w:p w14:paraId="47E6D6BB"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21,2</w:t>
            </w:r>
          </w:p>
        </w:tc>
        <w:tc>
          <w:tcPr>
            <w:tcW w:w="297" w:type="pct"/>
            <w:tcBorders>
              <w:top w:val="single" w:sz="12" w:space="0" w:color="auto"/>
              <w:left w:val="nil"/>
              <w:bottom w:val="single" w:sz="4" w:space="0" w:color="auto"/>
              <w:right w:val="single" w:sz="4" w:space="0" w:color="auto"/>
            </w:tcBorders>
            <w:shd w:val="clear" w:color="auto" w:fill="auto"/>
            <w:noWrap/>
            <w:vAlign w:val="bottom"/>
            <w:hideMark/>
          </w:tcPr>
          <w:p w14:paraId="7DC8AD81" w14:textId="77777777" w:rsidR="00AA3A5F" w:rsidRPr="00B25A22" w:rsidRDefault="00AA3A5F" w:rsidP="007A68D5">
            <w:pPr>
              <w:rPr>
                <w:rFonts w:cs="Times New Roman"/>
                <w:color w:val="000000"/>
                <w:sz w:val="20"/>
                <w:szCs w:val="20"/>
                <w:lang w:val="cs-CZ"/>
              </w:rPr>
            </w:pPr>
            <w:r w:rsidRPr="00B25A22">
              <w:rPr>
                <w:rFonts w:cs="Times New Roman"/>
                <w:color w:val="000000"/>
                <w:sz w:val="20"/>
                <w:szCs w:val="20"/>
                <w:lang w:val="cs-CZ"/>
              </w:rPr>
              <w:t>20,0</w:t>
            </w:r>
          </w:p>
        </w:tc>
        <w:tc>
          <w:tcPr>
            <w:tcW w:w="297" w:type="pct"/>
            <w:tcBorders>
              <w:top w:val="single" w:sz="12" w:space="0" w:color="auto"/>
              <w:left w:val="nil"/>
              <w:bottom w:val="single" w:sz="4" w:space="0" w:color="auto"/>
              <w:right w:val="single" w:sz="4" w:space="0" w:color="auto"/>
            </w:tcBorders>
            <w:shd w:val="clear" w:color="auto" w:fill="auto"/>
            <w:noWrap/>
            <w:vAlign w:val="bottom"/>
            <w:hideMark/>
          </w:tcPr>
          <w:p w14:paraId="16B52B72" w14:textId="77777777" w:rsidR="00AA3A5F" w:rsidRPr="00B25A22" w:rsidRDefault="00AA3A5F" w:rsidP="007A68D5">
            <w:pPr>
              <w:rPr>
                <w:rFonts w:cs="Times New Roman"/>
                <w:color w:val="000000"/>
                <w:sz w:val="20"/>
                <w:szCs w:val="20"/>
                <w:lang w:val="cs-CZ"/>
              </w:rPr>
            </w:pPr>
            <w:r w:rsidRPr="00B25A22">
              <w:rPr>
                <w:rFonts w:cs="Times New Roman"/>
                <w:color w:val="000000"/>
                <w:sz w:val="20"/>
                <w:szCs w:val="20"/>
                <w:lang w:val="cs-CZ"/>
              </w:rPr>
              <w:t>23,2</w:t>
            </w:r>
          </w:p>
        </w:tc>
        <w:tc>
          <w:tcPr>
            <w:tcW w:w="297" w:type="pct"/>
            <w:tcBorders>
              <w:top w:val="single" w:sz="12" w:space="0" w:color="auto"/>
              <w:left w:val="nil"/>
              <w:bottom w:val="single" w:sz="4" w:space="0" w:color="auto"/>
              <w:right w:val="single" w:sz="4" w:space="0" w:color="auto"/>
            </w:tcBorders>
            <w:shd w:val="clear" w:color="auto" w:fill="auto"/>
            <w:noWrap/>
            <w:vAlign w:val="bottom"/>
            <w:hideMark/>
          </w:tcPr>
          <w:p w14:paraId="3F507860"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20,9</w:t>
            </w:r>
          </w:p>
        </w:tc>
        <w:tc>
          <w:tcPr>
            <w:tcW w:w="297" w:type="pct"/>
            <w:tcBorders>
              <w:top w:val="single" w:sz="12" w:space="0" w:color="auto"/>
              <w:left w:val="nil"/>
              <w:bottom w:val="single" w:sz="4" w:space="0" w:color="auto"/>
              <w:right w:val="single" w:sz="4" w:space="0" w:color="auto"/>
            </w:tcBorders>
            <w:shd w:val="clear" w:color="auto" w:fill="auto"/>
            <w:noWrap/>
            <w:vAlign w:val="bottom"/>
            <w:hideMark/>
          </w:tcPr>
          <w:p w14:paraId="0D26CB0D"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20,3</w:t>
            </w:r>
          </w:p>
        </w:tc>
        <w:tc>
          <w:tcPr>
            <w:tcW w:w="297" w:type="pct"/>
            <w:tcBorders>
              <w:top w:val="single" w:sz="12" w:space="0" w:color="auto"/>
              <w:left w:val="nil"/>
              <w:bottom w:val="single" w:sz="4" w:space="0" w:color="auto"/>
              <w:right w:val="single" w:sz="4" w:space="0" w:color="auto"/>
            </w:tcBorders>
            <w:shd w:val="clear" w:color="auto" w:fill="auto"/>
            <w:noWrap/>
            <w:vAlign w:val="bottom"/>
            <w:hideMark/>
          </w:tcPr>
          <w:p w14:paraId="244872D6" w14:textId="77777777" w:rsidR="00AA3A5F" w:rsidRPr="00B25A22" w:rsidRDefault="00AA3A5F" w:rsidP="007A68D5">
            <w:pPr>
              <w:rPr>
                <w:rFonts w:cs="Times New Roman"/>
                <w:color w:val="000000"/>
                <w:sz w:val="20"/>
                <w:szCs w:val="20"/>
                <w:lang w:val="cs-CZ"/>
              </w:rPr>
            </w:pPr>
            <w:r w:rsidRPr="00B25A22">
              <w:rPr>
                <w:rFonts w:cs="Times New Roman"/>
                <w:color w:val="000000"/>
                <w:sz w:val="20"/>
                <w:szCs w:val="20"/>
                <w:lang w:val="cs-CZ"/>
              </w:rPr>
              <w:t>21,2</w:t>
            </w:r>
          </w:p>
        </w:tc>
        <w:tc>
          <w:tcPr>
            <w:tcW w:w="295" w:type="pct"/>
            <w:tcBorders>
              <w:top w:val="single" w:sz="12" w:space="0" w:color="auto"/>
              <w:left w:val="nil"/>
              <w:bottom w:val="single" w:sz="4" w:space="0" w:color="auto"/>
              <w:right w:val="single" w:sz="12" w:space="0" w:color="auto"/>
            </w:tcBorders>
            <w:shd w:val="clear" w:color="auto" w:fill="auto"/>
            <w:noWrap/>
            <w:vAlign w:val="bottom"/>
            <w:hideMark/>
          </w:tcPr>
          <w:p w14:paraId="0A6A4FAA"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w:t>
            </w:r>
          </w:p>
        </w:tc>
        <w:tc>
          <w:tcPr>
            <w:tcW w:w="295" w:type="pct"/>
            <w:tcBorders>
              <w:top w:val="single" w:sz="12" w:space="0" w:color="auto"/>
              <w:left w:val="single" w:sz="12" w:space="0" w:color="auto"/>
              <w:bottom w:val="single" w:sz="4" w:space="0" w:color="auto"/>
              <w:right w:val="single" w:sz="12" w:space="0" w:color="auto"/>
            </w:tcBorders>
            <w:vAlign w:val="bottom"/>
          </w:tcPr>
          <w:p w14:paraId="2B7EF105"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19,7</w:t>
            </w:r>
          </w:p>
        </w:tc>
        <w:tc>
          <w:tcPr>
            <w:tcW w:w="295" w:type="pct"/>
            <w:tcBorders>
              <w:top w:val="single" w:sz="12" w:space="0" w:color="auto"/>
              <w:left w:val="single" w:sz="12" w:space="0" w:color="auto"/>
              <w:bottom w:val="single" w:sz="4" w:space="0" w:color="auto"/>
              <w:right w:val="single" w:sz="12" w:space="0" w:color="auto"/>
            </w:tcBorders>
            <w:vAlign w:val="bottom"/>
          </w:tcPr>
          <w:p w14:paraId="3FF11280"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25,3</w:t>
            </w:r>
          </w:p>
        </w:tc>
        <w:tc>
          <w:tcPr>
            <w:tcW w:w="536" w:type="pct"/>
            <w:tcBorders>
              <w:top w:val="single" w:sz="12" w:space="0" w:color="auto"/>
              <w:left w:val="single" w:sz="12" w:space="0" w:color="auto"/>
              <w:bottom w:val="single" w:sz="4" w:space="0" w:color="auto"/>
              <w:right w:val="single" w:sz="12" w:space="0" w:color="auto"/>
            </w:tcBorders>
            <w:shd w:val="clear" w:color="auto" w:fill="auto"/>
            <w:noWrap/>
            <w:vAlign w:val="bottom"/>
            <w:hideMark/>
          </w:tcPr>
          <w:p w14:paraId="1E5F8F7E"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112,9</w:t>
            </w:r>
          </w:p>
        </w:tc>
      </w:tr>
      <w:bookmarkEnd w:id="29"/>
      <w:tr w:rsidR="00AA3A5F" w:rsidRPr="00B25A22" w14:paraId="0093E2CA" w14:textId="77777777" w:rsidTr="00DB6AFE">
        <w:trPr>
          <w:trHeight w:val="298"/>
        </w:trPr>
        <w:tc>
          <w:tcPr>
            <w:tcW w:w="584" w:type="pct"/>
            <w:vMerge/>
            <w:tcBorders>
              <w:top w:val="nil"/>
              <w:left w:val="single" w:sz="12" w:space="0" w:color="auto"/>
              <w:bottom w:val="single" w:sz="8" w:space="0" w:color="000000"/>
              <w:right w:val="single" w:sz="4" w:space="0" w:color="auto"/>
            </w:tcBorders>
            <w:vAlign w:val="center"/>
            <w:hideMark/>
          </w:tcPr>
          <w:p w14:paraId="415DF656" w14:textId="77777777" w:rsidR="00AA3A5F" w:rsidRPr="00B25A22" w:rsidRDefault="00AA3A5F" w:rsidP="007A68D5">
            <w:pPr>
              <w:jc w:val="left"/>
              <w:rPr>
                <w:rFonts w:cs="Times New Roman"/>
                <w:color w:val="000000"/>
                <w:sz w:val="20"/>
                <w:szCs w:val="20"/>
                <w:lang w:val="cs-CZ"/>
              </w:rPr>
            </w:pPr>
          </w:p>
        </w:tc>
        <w:tc>
          <w:tcPr>
            <w:tcW w:w="518" w:type="pct"/>
            <w:tcBorders>
              <w:top w:val="nil"/>
              <w:left w:val="nil"/>
              <w:bottom w:val="single" w:sz="4" w:space="0" w:color="auto"/>
              <w:right w:val="single" w:sz="4" w:space="0" w:color="auto"/>
            </w:tcBorders>
            <w:shd w:val="clear" w:color="auto" w:fill="auto"/>
            <w:noWrap/>
            <w:vAlign w:val="center"/>
            <w:hideMark/>
          </w:tcPr>
          <w:p w14:paraId="4CC02798"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střední podniky</w:t>
            </w:r>
          </w:p>
        </w:tc>
        <w:tc>
          <w:tcPr>
            <w:tcW w:w="318" w:type="pct"/>
            <w:tcBorders>
              <w:top w:val="nil"/>
              <w:left w:val="nil"/>
              <w:bottom w:val="single" w:sz="4" w:space="0" w:color="auto"/>
              <w:right w:val="single" w:sz="4" w:space="0" w:color="auto"/>
            </w:tcBorders>
            <w:shd w:val="clear" w:color="auto" w:fill="auto"/>
            <w:noWrap/>
            <w:vAlign w:val="center"/>
            <w:hideMark/>
          </w:tcPr>
          <w:p w14:paraId="02BBD0B5"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w:t>
            </w:r>
          </w:p>
        </w:tc>
        <w:tc>
          <w:tcPr>
            <w:tcW w:w="379" w:type="pct"/>
            <w:tcBorders>
              <w:top w:val="nil"/>
              <w:left w:val="nil"/>
              <w:bottom w:val="single" w:sz="4" w:space="0" w:color="auto"/>
              <w:right w:val="single" w:sz="4" w:space="0" w:color="auto"/>
            </w:tcBorders>
            <w:shd w:val="clear" w:color="auto" w:fill="auto"/>
            <w:noWrap/>
            <w:vAlign w:val="bottom"/>
            <w:hideMark/>
          </w:tcPr>
          <w:p w14:paraId="7A42651A"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39,2</w:t>
            </w:r>
          </w:p>
        </w:tc>
        <w:tc>
          <w:tcPr>
            <w:tcW w:w="297" w:type="pct"/>
            <w:tcBorders>
              <w:top w:val="nil"/>
              <w:left w:val="nil"/>
              <w:bottom w:val="single" w:sz="4" w:space="0" w:color="auto"/>
              <w:right w:val="single" w:sz="4" w:space="0" w:color="auto"/>
            </w:tcBorders>
            <w:shd w:val="clear" w:color="auto" w:fill="auto"/>
            <w:noWrap/>
            <w:vAlign w:val="bottom"/>
            <w:hideMark/>
          </w:tcPr>
          <w:p w14:paraId="602D7CDF"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41,4</w:t>
            </w:r>
          </w:p>
        </w:tc>
        <w:tc>
          <w:tcPr>
            <w:tcW w:w="297" w:type="pct"/>
            <w:tcBorders>
              <w:top w:val="nil"/>
              <w:left w:val="nil"/>
              <w:bottom w:val="single" w:sz="4" w:space="0" w:color="auto"/>
              <w:right w:val="single" w:sz="4" w:space="0" w:color="auto"/>
            </w:tcBorders>
            <w:shd w:val="clear" w:color="auto" w:fill="auto"/>
            <w:noWrap/>
            <w:vAlign w:val="bottom"/>
            <w:hideMark/>
          </w:tcPr>
          <w:p w14:paraId="4C1C7378"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40,2</w:t>
            </w:r>
          </w:p>
        </w:tc>
        <w:tc>
          <w:tcPr>
            <w:tcW w:w="297" w:type="pct"/>
            <w:tcBorders>
              <w:top w:val="nil"/>
              <w:left w:val="nil"/>
              <w:bottom w:val="single" w:sz="4" w:space="0" w:color="auto"/>
              <w:right w:val="single" w:sz="4" w:space="0" w:color="auto"/>
            </w:tcBorders>
            <w:shd w:val="clear" w:color="auto" w:fill="auto"/>
            <w:noWrap/>
            <w:vAlign w:val="bottom"/>
            <w:hideMark/>
          </w:tcPr>
          <w:p w14:paraId="7A86911E"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42,1</w:t>
            </w:r>
          </w:p>
        </w:tc>
        <w:tc>
          <w:tcPr>
            <w:tcW w:w="297" w:type="pct"/>
            <w:tcBorders>
              <w:top w:val="nil"/>
              <w:left w:val="nil"/>
              <w:bottom w:val="single" w:sz="4" w:space="0" w:color="auto"/>
              <w:right w:val="single" w:sz="4" w:space="0" w:color="auto"/>
            </w:tcBorders>
            <w:shd w:val="clear" w:color="auto" w:fill="auto"/>
            <w:noWrap/>
            <w:vAlign w:val="bottom"/>
            <w:hideMark/>
          </w:tcPr>
          <w:p w14:paraId="177A1387"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43,5</w:t>
            </w:r>
          </w:p>
        </w:tc>
        <w:tc>
          <w:tcPr>
            <w:tcW w:w="297" w:type="pct"/>
            <w:tcBorders>
              <w:top w:val="nil"/>
              <w:left w:val="nil"/>
              <w:bottom w:val="single" w:sz="4" w:space="0" w:color="auto"/>
              <w:right w:val="single" w:sz="4" w:space="0" w:color="auto"/>
            </w:tcBorders>
            <w:shd w:val="clear" w:color="auto" w:fill="auto"/>
            <w:noWrap/>
            <w:vAlign w:val="bottom"/>
            <w:hideMark/>
          </w:tcPr>
          <w:p w14:paraId="414BDD9C"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43,7</w:t>
            </w:r>
          </w:p>
        </w:tc>
        <w:tc>
          <w:tcPr>
            <w:tcW w:w="297" w:type="pct"/>
            <w:tcBorders>
              <w:top w:val="nil"/>
              <w:left w:val="nil"/>
              <w:bottom w:val="single" w:sz="4" w:space="0" w:color="auto"/>
              <w:right w:val="single" w:sz="4" w:space="0" w:color="auto"/>
            </w:tcBorders>
            <w:shd w:val="clear" w:color="auto" w:fill="auto"/>
            <w:noWrap/>
            <w:vAlign w:val="bottom"/>
            <w:hideMark/>
          </w:tcPr>
          <w:p w14:paraId="16819306"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42,0</w:t>
            </w:r>
          </w:p>
        </w:tc>
        <w:tc>
          <w:tcPr>
            <w:tcW w:w="295" w:type="pct"/>
            <w:tcBorders>
              <w:top w:val="nil"/>
              <w:left w:val="nil"/>
              <w:bottom w:val="single" w:sz="4" w:space="0" w:color="auto"/>
              <w:right w:val="single" w:sz="12" w:space="0" w:color="auto"/>
            </w:tcBorders>
            <w:shd w:val="clear" w:color="auto" w:fill="auto"/>
            <w:noWrap/>
            <w:vAlign w:val="bottom"/>
            <w:hideMark/>
          </w:tcPr>
          <w:p w14:paraId="03F20F7F"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41,9</w:t>
            </w:r>
          </w:p>
        </w:tc>
        <w:tc>
          <w:tcPr>
            <w:tcW w:w="295" w:type="pct"/>
            <w:tcBorders>
              <w:top w:val="nil"/>
              <w:left w:val="single" w:sz="12" w:space="0" w:color="auto"/>
              <w:bottom w:val="single" w:sz="4" w:space="0" w:color="auto"/>
              <w:right w:val="single" w:sz="12" w:space="0" w:color="auto"/>
            </w:tcBorders>
            <w:vAlign w:val="bottom"/>
          </w:tcPr>
          <w:p w14:paraId="78492518"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41,5</w:t>
            </w:r>
          </w:p>
        </w:tc>
        <w:tc>
          <w:tcPr>
            <w:tcW w:w="295" w:type="pct"/>
            <w:tcBorders>
              <w:top w:val="nil"/>
              <w:left w:val="single" w:sz="12" w:space="0" w:color="auto"/>
              <w:bottom w:val="single" w:sz="4" w:space="0" w:color="auto"/>
              <w:right w:val="single" w:sz="12" w:space="0" w:color="auto"/>
            </w:tcBorders>
            <w:vAlign w:val="bottom"/>
          </w:tcPr>
          <w:p w14:paraId="2920FF22"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35,6</w:t>
            </w:r>
          </w:p>
        </w:tc>
        <w:tc>
          <w:tcPr>
            <w:tcW w:w="536" w:type="pct"/>
            <w:tcBorders>
              <w:top w:val="nil"/>
              <w:left w:val="single" w:sz="12" w:space="0" w:color="auto"/>
              <w:bottom w:val="single" w:sz="4" w:space="0" w:color="auto"/>
              <w:right w:val="single" w:sz="12" w:space="0" w:color="auto"/>
            </w:tcBorders>
            <w:shd w:val="clear" w:color="auto" w:fill="auto"/>
            <w:noWrap/>
            <w:vAlign w:val="bottom"/>
            <w:hideMark/>
          </w:tcPr>
          <w:p w14:paraId="71E8871A"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90,8</w:t>
            </w:r>
          </w:p>
        </w:tc>
      </w:tr>
      <w:tr w:rsidR="00AA3A5F" w:rsidRPr="00B25A22" w14:paraId="45FAB9D8" w14:textId="77777777" w:rsidTr="00DB6AFE">
        <w:trPr>
          <w:trHeight w:val="298"/>
        </w:trPr>
        <w:tc>
          <w:tcPr>
            <w:tcW w:w="584" w:type="pct"/>
            <w:vMerge/>
            <w:tcBorders>
              <w:top w:val="nil"/>
              <w:left w:val="single" w:sz="12" w:space="0" w:color="auto"/>
              <w:bottom w:val="single" w:sz="12" w:space="0" w:color="auto"/>
              <w:right w:val="single" w:sz="4" w:space="0" w:color="auto"/>
            </w:tcBorders>
            <w:vAlign w:val="center"/>
            <w:hideMark/>
          </w:tcPr>
          <w:p w14:paraId="44701A0D" w14:textId="77777777" w:rsidR="00AA3A5F" w:rsidRPr="00B25A22" w:rsidRDefault="00AA3A5F" w:rsidP="007A68D5">
            <w:pPr>
              <w:jc w:val="left"/>
              <w:rPr>
                <w:rFonts w:cs="Times New Roman"/>
                <w:color w:val="000000"/>
                <w:sz w:val="20"/>
                <w:szCs w:val="20"/>
                <w:lang w:val="cs-CZ"/>
              </w:rPr>
            </w:pPr>
          </w:p>
        </w:tc>
        <w:tc>
          <w:tcPr>
            <w:tcW w:w="518" w:type="pct"/>
            <w:tcBorders>
              <w:top w:val="nil"/>
              <w:left w:val="nil"/>
              <w:bottom w:val="single" w:sz="12" w:space="0" w:color="auto"/>
              <w:right w:val="single" w:sz="4" w:space="0" w:color="auto"/>
            </w:tcBorders>
            <w:shd w:val="clear" w:color="auto" w:fill="auto"/>
            <w:noWrap/>
            <w:vAlign w:val="center"/>
            <w:hideMark/>
          </w:tcPr>
          <w:p w14:paraId="1BA4472F"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MSP</w:t>
            </w:r>
          </w:p>
        </w:tc>
        <w:tc>
          <w:tcPr>
            <w:tcW w:w="318" w:type="pct"/>
            <w:tcBorders>
              <w:top w:val="nil"/>
              <w:left w:val="nil"/>
              <w:bottom w:val="single" w:sz="12" w:space="0" w:color="auto"/>
              <w:right w:val="single" w:sz="4" w:space="0" w:color="auto"/>
            </w:tcBorders>
            <w:shd w:val="clear" w:color="auto" w:fill="auto"/>
            <w:noWrap/>
            <w:vAlign w:val="center"/>
            <w:hideMark/>
          </w:tcPr>
          <w:p w14:paraId="084B8894"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w:t>
            </w:r>
          </w:p>
        </w:tc>
        <w:tc>
          <w:tcPr>
            <w:tcW w:w="379" w:type="pct"/>
            <w:tcBorders>
              <w:top w:val="nil"/>
              <w:left w:val="nil"/>
              <w:bottom w:val="single" w:sz="12" w:space="0" w:color="auto"/>
              <w:right w:val="single" w:sz="4" w:space="0" w:color="auto"/>
            </w:tcBorders>
            <w:shd w:val="clear" w:color="auto" w:fill="auto"/>
            <w:noWrap/>
            <w:vAlign w:val="bottom"/>
            <w:hideMark/>
          </w:tcPr>
          <w:p w14:paraId="54C35993"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61,6</w:t>
            </w:r>
          </w:p>
        </w:tc>
        <w:tc>
          <w:tcPr>
            <w:tcW w:w="297" w:type="pct"/>
            <w:tcBorders>
              <w:top w:val="nil"/>
              <w:left w:val="nil"/>
              <w:bottom w:val="single" w:sz="12" w:space="0" w:color="auto"/>
              <w:right w:val="single" w:sz="4" w:space="0" w:color="auto"/>
            </w:tcBorders>
            <w:shd w:val="clear" w:color="auto" w:fill="auto"/>
            <w:noWrap/>
            <w:vAlign w:val="bottom"/>
            <w:hideMark/>
          </w:tcPr>
          <w:p w14:paraId="65504500"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62,7</w:t>
            </w:r>
          </w:p>
        </w:tc>
        <w:tc>
          <w:tcPr>
            <w:tcW w:w="297" w:type="pct"/>
            <w:tcBorders>
              <w:top w:val="nil"/>
              <w:left w:val="nil"/>
              <w:bottom w:val="single" w:sz="12" w:space="0" w:color="auto"/>
              <w:right w:val="single" w:sz="4" w:space="0" w:color="auto"/>
            </w:tcBorders>
            <w:shd w:val="clear" w:color="auto" w:fill="auto"/>
            <w:noWrap/>
            <w:vAlign w:val="bottom"/>
            <w:hideMark/>
          </w:tcPr>
          <w:p w14:paraId="537400B8"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60,2</w:t>
            </w:r>
          </w:p>
        </w:tc>
        <w:tc>
          <w:tcPr>
            <w:tcW w:w="297" w:type="pct"/>
            <w:tcBorders>
              <w:top w:val="nil"/>
              <w:left w:val="nil"/>
              <w:bottom w:val="single" w:sz="12" w:space="0" w:color="auto"/>
              <w:right w:val="single" w:sz="4" w:space="0" w:color="auto"/>
            </w:tcBorders>
            <w:shd w:val="clear" w:color="auto" w:fill="auto"/>
            <w:noWrap/>
            <w:vAlign w:val="bottom"/>
            <w:hideMark/>
          </w:tcPr>
          <w:p w14:paraId="244C6604"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65,3</w:t>
            </w:r>
          </w:p>
        </w:tc>
        <w:tc>
          <w:tcPr>
            <w:tcW w:w="297" w:type="pct"/>
            <w:tcBorders>
              <w:top w:val="nil"/>
              <w:left w:val="nil"/>
              <w:bottom w:val="single" w:sz="12" w:space="0" w:color="auto"/>
              <w:right w:val="single" w:sz="4" w:space="0" w:color="auto"/>
            </w:tcBorders>
            <w:shd w:val="clear" w:color="auto" w:fill="auto"/>
            <w:noWrap/>
            <w:vAlign w:val="bottom"/>
            <w:hideMark/>
          </w:tcPr>
          <w:p w14:paraId="21F272C2"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64,5</w:t>
            </w:r>
          </w:p>
        </w:tc>
        <w:tc>
          <w:tcPr>
            <w:tcW w:w="297" w:type="pct"/>
            <w:tcBorders>
              <w:top w:val="nil"/>
              <w:left w:val="nil"/>
              <w:bottom w:val="single" w:sz="12" w:space="0" w:color="auto"/>
              <w:right w:val="single" w:sz="4" w:space="0" w:color="auto"/>
            </w:tcBorders>
            <w:shd w:val="clear" w:color="auto" w:fill="auto"/>
            <w:noWrap/>
            <w:vAlign w:val="bottom"/>
            <w:hideMark/>
          </w:tcPr>
          <w:p w14:paraId="6D294501"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64,0</w:t>
            </w:r>
          </w:p>
        </w:tc>
        <w:tc>
          <w:tcPr>
            <w:tcW w:w="297" w:type="pct"/>
            <w:tcBorders>
              <w:top w:val="nil"/>
              <w:left w:val="nil"/>
              <w:bottom w:val="single" w:sz="12" w:space="0" w:color="auto"/>
              <w:right w:val="single" w:sz="4" w:space="0" w:color="auto"/>
            </w:tcBorders>
            <w:shd w:val="clear" w:color="auto" w:fill="auto"/>
            <w:noWrap/>
            <w:vAlign w:val="bottom"/>
            <w:hideMark/>
          </w:tcPr>
          <w:p w14:paraId="634930F8"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63,2</w:t>
            </w:r>
          </w:p>
        </w:tc>
        <w:tc>
          <w:tcPr>
            <w:tcW w:w="295" w:type="pct"/>
            <w:tcBorders>
              <w:top w:val="nil"/>
              <w:left w:val="nil"/>
              <w:bottom w:val="single" w:sz="12" w:space="0" w:color="auto"/>
              <w:right w:val="single" w:sz="12" w:space="0" w:color="auto"/>
            </w:tcBorders>
            <w:shd w:val="clear" w:color="auto" w:fill="auto"/>
            <w:noWrap/>
            <w:vAlign w:val="bottom"/>
            <w:hideMark/>
          </w:tcPr>
          <w:p w14:paraId="09E892CF"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62,0</w:t>
            </w:r>
          </w:p>
        </w:tc>
        <w:tc>
          <w:tcPr>
            <w:tcW w:w="295" w:type="pct"/>
            <w:tcBorders>
              <w:top w:val="nil"/>
              <w:left w:val="single" w:sz="12" w:space="0" w:color="auto"/>
              <w:bottom w:val="single" w:sz="12" w:space="0" w:color="auto"/>
              <w:right w:val="single" w:sz="12" w:space="0" w:color="auto"/>
            </w:tcBorders>
            <w:vAlign w:val="bottom"/>
          </w:tcPr>
          <w:p w14:paraId="3A54B437"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61,2</w:t>
            </w:r>
          </w:p>
        </w:tc>
        <w:tc>
          <w:tcPr>
            <w:tcW w:w="295" w:type="pct"/>
            <w:tcBorders>
              <w:top w:val="nil"/>
              <w:left w:val="single" w:sz="12" w:space="0" w:color="auto"/>
              <w:bottom w:val="single" w:sz="12" w:space="0" w:color="auto"/>
              <w:right w:val="single" w:sz="12" w:space="0" w:color="auto"/>
            </w:tcBorders>
            <w:vAlign w:val="bottom"/>
          </w:tcPr>
          <w:p w14:paraId="5E92717A"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60,9</w:t>
            </w:r>
          </w:p>
        </w:tc>
        <w:tc>
          <w:tcPr>
            <w:tcW w:w="536" w:type="pct"/>
            <w:tcBorders>
              <w:top w:val="nil"/>
              <w:left w:val="single" w:sz="12" w:space="0" w:color="auto"/>
              <w:bottom w:val="single" w:sz="12" w:space="0" w:color="auto"/>
              <w:right w:val="single" w:sz="12" w:space="0" w:color="auto"/>
            </w:tcBorders>
            <w:shd w:val="clear" w:color="auto" w:fill="auto"/>
            <w:noWrap/>
            <w:vAlign w:val="bottom"/>
            <w:hideMark/>
          </w:tcPr>
          <w:p w14:paraId="33184ACF"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98,8</w:t>
            </w:r>
          </w:p>
        </w:tc>
      </w:tr>
    </w:tbl>
    <w:bookmarkEnd w:id="30"/>
    <w:p w14:paraId="3EB87AB8" w14:textId="77777777" w:rsidR="00AA3A5F" w:rsidRPr="00B25A22" w:rsidRDefault="00AA3A5F" w:rsidP="00DB6AFE">
      <w:pPr>
        <w:pStyle w:val="UZEIZdroj"/>
      </w:pPr>
      <w:r w:rsidRPr="00B25A22">
        <w:t>Pramen: MPO</w:t>
      </w:r>
    </w:p>
    <w:p w14:paraId="4648CA39" w14:textId="77777777" w:rsidR="00AA3A5F" w:rsidRPr="00B25A22" w:rsidRDefault="00AA3A5F" w:rsidP="00BA3563">
      <w:pPr>
        <w:pStyle w:val="UZEINormaln"/>
        <w:numPr>
          <w:ilvl w:val="0"/>
          <w:numId w:val="33"/>
        </w:numPr>
        <w:rPr>
          <w:rFonts w:cs="Times New Roman"/>
        </w:rPr>
      </w:pPr>
      <w:r w:rsidRPr="00B25A22">
        <w:rPr>
          <w:rFonts w:cs="Times New Roman"/>
        </w:rPr>
        <w:t xml:space="preserve">Dle databáze ČSÚ a MPO se </w:t>
      </w:r>
      <w:r w:rsidRPr="00B25A22">
        <w:rPr>
          <w:rFonts w:cs="Times New Roman"/>
          <w:b/>
        </w:rPr>
        <w:t>malé a střední podniky</w:t>
      </w:r>
      <w:r w:rsidRPr="00B25A22">
        <w:rPr>
          <w:rFonts w:cs="Times New Roman"/>
        </w:rPr>
        <w:t xml:space="preserve"> v oboru NACE 10 (zpracování potravin) podílely na celkovém obratu odvětví NACE 10 v roce 2010 celkem 61,6 % a v roce 2019 celkem 60,9 %. Pro splnění podmínky KDŘ by však prodej spotřebitelům musel probíhat již přímo ze zpracovatelského podniku. To lze v případě středních podniků předpokládat ve velmi omezeném rozsahu a v případě malých podniků nelze odhadovat.  </w:t>
      </w:r>
    </w:p>
    <w:p w14:paraId="7182BD54" w14:textId="77777777" w:rsidR="00AA3A5F" w:rsidRPr="00B25A22" w:rsidRDefault="00AA3A5F" w:rsidP="00BA3563">
      <w:pPr>
        <w:pStyle w:val="UZEINormaln"/>
        <w:numPr>
          <w:ilvl w:val="0"/>
          <w:numId w:val="33"/>
        </w:numPr>
        <w:rPr>
          <w:rFonts w:eastAsia="Calibri" w:cs="Times New Roman"/>
          <w:sz w:val="18"/>
          <w:szCs w:val="18"/>
        </w:rPr>
      </w:pPr>
      <w:r w:rsidRPr="00B25A22">
        <w:rPr>
          <w:rFonts w:eastAsia="Calibri" w:cs="Times New Roman"/>
        </w:rPr>
        <w:t>Prodej nezpracovaných produktů přímo ze zemědělského podniku, zmíněná databáze nepodchycuje.</w:t>
      </w:r>
    </w:p>
    <w:p w14:paraId="3FA62A70" w14:textId="77777777" w:rsidR="00AA3A5F" w:rsidRPr="00B25A22" w:rsidRDefault="00AA3A5F" w:rsidP="00BA3563">
      <w:pPr>
        <w:pStyle w:val="UZEINormaln"/>
        <w:numPr>
          <w:ilvl w:val="0"/>
          <w:numId w:val="33"/>
        </w:numPr>
        <w:rPr>
          <w:rFonts w:cs="Times New Roman"/>
        </w:rPr>
      </w:pPr>
      <w:r w:rsidRPr="00B25A22">
        <w:rPr>
          <w:rFonts w:cs="Times New Roman"/>
        </w:rPr>
        <w:t>Výzkum ÚZEI a TC AV ČR</w:t>
      </w:r>
      <w:r w:rsidRPr="00B25A22">
        <w:rPr>
          <w:rFonts w:cs="Times New Roman"/>
          <w:i/>
          <w:vertAlign w:val="superscript"/>
        </w:rPr>
        <w:footnoteReference w:id="8"/>
      </w:r>
      <w:r w:rsidRPr="00B25A22">
        <w:rPr>
          <w:rFonts w:cs="Times New Roman"/>
        </w:rPr>
        <w:t xml:space="preserve"> (Bošková, </w:t>
      </w:r>
      <w:proofErr w:type="spellStart"/>
      <w:r w:rsidRPr="00B25A22">
        <w:rPr>
          <w:rFonts w:cs="Times New Roman"/>
        </w:rPr>
        <w:t>Ratinger</w:t>
      </w:r>
      <w:proofErr w:type="spellEnd"/>
      <w:r w:rsidRPr="00B25A22">
        <w:rPr>
          <w:rFonts w:cs="Times New Roman"/>
        </w:rPr>
        <w:t xml:space="preserve">, 2018) byl zaměřen na držitele Regionální značky udělované Asociací regionálních značek (ARZ) s dotazy mimo jiné směrovanými na spolupráci při prodeji regionálních výrobků. Osloveno bylo všech 430 držitelů značky pro potraviny. Z více než třetiny (160) navrácených odpovědí je zřejmé, že všichni respondenti se vejdou do kategorie malých a středních podniků a 83 % dokonce do kategorie mikropodniků (u 42 % respondentů se na výrobě podílí jen jedna až dvě osoby a u dalších 41 % respondentů maximálně deset osob). </w:t>
      </w:r>
      <w:r w:rsidRPr="00B25A22">
        <w:rPr>
          <w:rFonts w:cs="Times New Roman"/>
          <w:b/>
        </w:rPr>
        <w:t>Prodej formou KDŘ je u držitelů značky ARZ (většinou mikropodniky) velmi obvyklý</w:t>
      </w:r>
      <w:r w:rsidRPr="00B25A22">
        <w:rPr>
          <w:rFonts w:cs="Times New Roman"/>
        </w:rPr>
        <w:t>; 86 % respondentů prodává ve vlastní provozovně, 40 % ve specializované cizí prodejně, 49 % na farmářských trzích a 26 % přes internet s vlastním závozem. Do řetězců dodává jen 10,6 % respondentů</w:t>
      </w:r>
      <w:r w:rsidRPr="00B25A22">
        <w:rPr>
          <w:rFonts w:cs="Times New Roman"/>
          <w:i/>
          <w:vertAlign w:val="superscript"/>
        </w:rPr>
        <w:footnoteReference w:id="9"/>
      </w:r>
      <w:r w:rsidRPr="00B25A22">
        <w:rPr>
          <w:rFonts w:cs="Times New Roman"/>
        </w:rPr>
        <w:t xml:space="preserve">. </w:t>
      </w:r>
    </w:p>
    <w:p w14:paraId="64B6EC51" w14:textId="77777777" w:rsidR="00AA3A5F" w:rsidRPr="00B25A22" w:rsidRDefault="00AA3A5F" w:rsidP="00BA3563">
      <w:pPr>
        <w:pStyle w:val="UZEINormaln"/>
        <w:numPr>
          <w:ilvl w:val="0"/>
          <w:numId w:val="33"/>
        </w:numPr>
        <w:rPr>
          <w:rFonts w:cs="Times New Roman"/>
        </w:rPr>
      </w:pPr>
      <w:r w:rsidRPr="00B25A22">
        <w:rPr>
          <w:rFonts w:cs="Times New Roman"/>
          <w:b/>
          <w:caps/>
        </w:rPr>
        <w:lastRenderedPageBreak/>
        <w:t>Spolupráce</w:t>
      </w:r>
      <w:r w:rsidRPr="00B25A22">
        <w:rPr>
          <w:rFonts w:cs="Times New Roman"/>
          <w:b/>
        </w:rPr>
        <w:t xml:space="preserve"> při prodeji formou KDŘ</w:t>
      </w:r>
      <w:r w:rsidRPr="00B25A22">
        <w:rPr>
          <w:rFonts w:cs="Times New Roman"/>
        </w:rPr>
        <w:t xml:space="preserve"> je podle citovaného výzkumu ÚZEI a TC omezená, ale existuje. V uvedeném souboru využívá celkem 36 % respondentů prodejnu jiného regionálního výrobce, 10 % spolupracuje různými formami (nákupem surovin, společnou účastí na akcích, společnými výrobky, marketingem apod.) a necelá 4 % spolupracují v dopravě. Téměř dvě třetiny (62 %) respondentů však nespolupracují při výrobě a prodeji svých výrobků s nikým. </w:t>
      </w:r>
    </w:p>
    <w:p w14:paraId="5894D344" w14:textId="55DA0C64" w:rsidR="00AA3A5F" w:rsidRPr="00B25A22" w:rsidRDefault="00AA3A5F" w:rsidP="00BA3563">
      <w:pPr>
        <w:pStyle w:val="UZEINormaln"/>
        <w:numPr>
          <w:ilvl w:val="0"/>
          <w:numId w:val="33"/>
        </w:numPr>
        <w:rPr>
          <w:rFonts w:cs="Times New Roman"/>
        </w:rPr>
      </w:pPr>
      <w:r w:rsidRPr="00B25A22">
        <w:rPr>
          <w:rFonts w:cs="Times New Roman"/>
        </w:rPr>
        <w:t>Dílčím poznatkem rovněž je</w:t>
      </w:r>
      <w:r w:rsidRPr="00B25A22">
        <w:rPr>
          <w:rFonts w:cs="Times New Roman"/>
          <w:b/>
          <w:caps/>
        </w:rPr>
        <w:t xml:space="preserve"> čerpání podpor z PRV na spolupráci účastníků KDŘ. </w:t>
      </w:r>
      <w:bookmarkStart w:id="31" w:name="_Hlk5884242"/>
      <w:r w:rsidRPr="00B25A22">
        <w:rPr>
          <w:rFonts w:cs="Times New Roman"/>
        </w:rPr>
        <w:t xml:space="preserve">Dle údajů SZIF k </w:t>
      </w:r>
      <w:r w:rsidR="004F1CE2">
        <w:rPr>
          <w:rFonts w:cs="Times New Roman"/>
        </w:rPr>
        <w:t>30</w:t>
      </w:r>
      <w:r w:rsidRPr="00B25A22">
        <w:rPr>
          <w:rFonts w:cs="Times New Roman"/>
        </w:rPr>
        <w:t xml:space="preserve">. </w:t>
      </w:r>
      <w:r w:rsidR="004F1CE2">
        <w:rPr>
          <w:rFonts w:cs="Times New Roman"/>
        </w:rPr>
        <w:t>6</w:t>
      </w:r>
      <w:r w:rsidRPr="00B25A22">
        <w:rPr>
          <w:rFonts w:cs="Times New Roman"/>
        </w:rPr>
        <w:t xml:space="preserve">. </w:t>
      </w:r>
      <w:r w:rsidR="004F1CE2" w:rsidRPr="00B25A22">
        <w:rPr>
          <w:rFonts w:cs="Times New Roman"/>
        </w:rPr>
        <w:t>202</w:t>
      </w:r>
      <w:r w:rsidR="004F1CE2">
        <w:rPr>
          <w:rFonts w:cs="Times New Roman"/>
        </w:rPr>
        <w:t>1</w:t>
      </w:r>
      <w:r w:rsidR="004F1CE2" w:rsidRPr="00B25A22">
        <w:rPr>
          <w:rFonts w:cs="Times New Roman"/>
        </w:rPr>
        <w:t xml:space="preserve"> </w:t>
      </w:r>
      <w:r w:rsidRPr="00B25A22">
        <w:rPr>
          <w:rFonts w:cs="Times New Roman"/>
        </w:rPr>
        <w:t xml:space="preserve">bylo celkem zaregistrováno 18 žádostí o dotaci, z toho u </w:t>
      </w:r>
      <w:r w:rsidR="004F1CE2">
        <w:rPr>
          <w:rFonts w:cs="Times New Roman"/>
        </w:rPr>
        <w:t>15</w:t>
      </w:r>
      <w:r w:rsidR="004F1CE2" w:rsidRPr="00B25A22">
        <w:rPr>
          <w:rFonts w:cs="Times New Roman"/>
        </w:rPr>
        <w:t xml:space="preserve"> </w:t>
      </w:r>
      <w:r w:rsidRPr="00B25A22">
        <w:rPr>
          <w:rFonts w:cs="Times New Roman"/>
        </w:rPr>
        <w:t xml:space="preserve">žádostí byla ukončena administrace a jen </w:t>
      </w:r>
      <w:r w:rsidR="004F1CE2">
        <w:rPr>
          <w:rFonts w:cs="Times New Roman"/>
        </w:rPr>
        <w:t>3</w:t>
      </w:r>
      <w:r w:rsidR="004F1CE2" w:rsidRPr="00B25A22">
        <w:rPr>
          <w:rFonts w:cs="Times New Roman"/>
        </w:rPr>
        <w:t xml:space="preserve"> žádost</w:t>
      </w:r>
      <w:r w:rsidR="004F1CE2">
        <w:rPr>
          <w:rFonts w:cs="Times New Roman"/>
        </w:rPr>
        <w:t>i</w:t>
      </w:r>
      <w:r w:rsidR="004F1CE2" w:rsidRPr="00B25A22">
        <w:rPr>
          <w:rFonts w:cs="Times New Roman"/>
        </w:rPr>
        <w:t xml:space="preserve"> </w:t>
      </w:r>
      <w:r w:rsidRPr="00B25A22">
        <w:rPr>
          <w:rFonts w:cs="Times New Roman"/>
        </w:rPr>
        <w:t xml:space="preserve">v administraci </w:t>
      </w:r>
      <w:r w:rsidR="004F1CE2" w:rsidRPr="00B25A22">
        <w:rPr>
          <w:rFonts w:cs="Times New Roman"/>
        </w:rPr>
        <w:t>zůstal</w:t>
      </w:r>
      <w:r w:rsidR="004F1CE2">
        <w:rPr>
          <w:rFonts w:cs="Times New Roman"/>
        </w:rPr>
        <w:t>y</w:t>
      </w:r>
      <w:r w:rsidRPr="00B25A22">
        <w:rPr>
          <w:rFonts w:cs="Times New Roman"/>
        </w:rPr>
        <w:t xml:space="preserve">. Podepsaná dohoda byla pouze u </w:t>
      </w:r>
      <w:r w:rsidR="004F1CE2">
        <w:rPr>
          <w:rFonts w:cs="Times New Roman"/>
        </w:rPr>
        <w:t>tří</w:t>
      </w:r>
      <w:r w:rsidR="004F1CE2" w:rsidRPr="00B25A22">
        <w:rPr>
          <w:rFonts w:cs="Times New Roman"/>
        </w:rPr>
        <w:t xml:space="preserve"> </w:t>
      </w:r>
      <w:r w:rsidRPr="00B25A22">
        <w:rPr>
          <w:rFonts w:cs="Times New Roman"/>
        </w:rPr>
        <w:t>žádostí.</w:t>
      </w:r>
      <w:bookmarkEnd w:id="31"/>
      <w:r w:rsidRPr="00B25A22">
        <w:rPr>
          <w:rFonts w:cs="Times New Roman"/>
        </w:rPr>
        <w:t xml:space="preserve"> Nečerpání podpor však neznamená neexistenci spolupráce. K rozvoji KDŘ by měla přispívat také operace 4.2.1 Zpracování a uvádění na trh zemědělských produktů, která je součástí specifického cíle B.</w:t>
      </w:r>
    </w:p>
    <w:p w14:paraId="6079AA7F" w14:textId="42D6B0E2" w:rsidR="00AA3A5F" w:rsidRPr="00B25A22" w:rsidRDefault="00AA3A5F" w:rsidP="00BA3563">
      <w:pPr>
        <w:pStyle w:val="UZEINormaln"/>
        <w:numPr>
          <w:ilvl w:val="0"/>
          <w:numId w:val="33"/>
        </w:numPr>
        <w:rPr>
          <w:rFonts w:cs="Times New Roman"/>
        </w:rPr>
      </w:pPr>
      <w:r w:rsidRPr="00B25A22">
        <w:rPr>
          <w:rFonts w:cs="Times New Roman"/>
        </w:rPr>
        <w:t xml:space="preserve">Dílčím poznatkem je rovněž rozvoj </w:t>
      </w:r>
      <w:r w:rsidRPr="00B25A22">
        <w:rPr>
          <w:rFonts w:cs="Times New Roman"/>
          <w:b/>
          <w:caps/>
        </w:rPr>
        <w:t>počtu schVálených farmářských tržišť</w:t>
      </w:r>
      <w:r w:rsidRPr="00B25A22">
        <w:rPr>
          <w:rFonts w:cs="Times New Roman"/>
        </w:rPr>
        <w:t>.</w:t>
      </w:r>
      <w:r w:rsidRPr="00B25A22">
        <w:rPr>
          <w:rFonts w:cs="Times New Roman"/>
          <w:strike/>
        </w:rPr>
        <w:t xml:space="preserve"> </w:t>
      </w:r>
      <w:r w:rsidRPr="00B25A22">
        <w:rPr>
          <w:rFonts w:cs="Times New Roman"/>
        </w:rPr>
        <w:t>Počet tržišť se do roku 2016 zvyšoval (s výjimkou roku 2013), ale dynamika jejich růstu v posledních letech klesala. V roce 2017 došlo k meziročnímu poklesu schválených farmářských tržišť na 287, stejný počet tržišť byl i v roce 2018. V roce 2019 došlo po zpřesnění evidence v odborném informačním systému SVS k meziročnímu nárůstu počtu tržišť (329).</w:t>
      </w:r>
    </w:p>
    <w:p w14:paraId="368EBF53" w14:textId="0334A605" w:rsidR="00AA3A5F" w:rsidRPr="00B25A22" w:rsidRDefault="00AA3A5F" w:rsidP="00DB6AFE">
      <w:pPr>
        <w:pStyle w:val="UZEITaB"/>
        <w:rPr>
          <w:rFonts w:eastAsia="Calibri" w:cs="Times New Roman"/>
        </w:rPr>
      </w:pPr>
      <w:bookmarkStart w:id="32" w:name="_Toc81743441"/>
      <w:r w:rsidRPr="00B25A22">
        <w:rPr>
          <w:rFonts w:eastAsia="Calibri" w:cs="Times New Roman"/>
        </w:rPr>
        <w:t>Počet schválených farmářských tržišť*)</w:t>
      </w:r>
      <w:bookmarkEnd w:id="32"/>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80"/>
        <w:gridCol w:w="864"/>
        <w:gridCol w:w="863"/>
        <w:gridCol w:w="863"/>
        <w:gridCol w:w="863"/>
        <w:gridCol w:w="863"/>
        <w:gridCol w:w="863"/>
        <w:gridCol w:w="863"/>
        <w:gridCol w:w="861"/>
        <w:gridCol w:w="859"/>
      </w:tblGrid>
      <w:tr w:rsidR="00AA3A5F" w:rsidRPr="00B25A22" w14:paraId="60D05235" w14:textId="77777777" w:rsidTr="007A68D5">
        <w:trPr>
          <w:trHeight w:val="300"/>
        </w:trPr>
        <w:tc>
          <w:tcPr>
            <w:tcW w:w="708" w:type="pct"/>
            <w:shd w:val="clear" w:color="auto" w:fill="auto"/>
            <w:noWrap/>
            <w:vAlign w:val="bottom"/>
            <w:hideMark/>
          </w:tcPr>
          <w:p w14:paraId="1D4EB04A" w14:textId="77777777" w:rsidR="00AA3A5F" w:rsidRPr="00B25A22" w:rsidRDefault="00AA3A5F" w:rsidP="007A68D5">
            <w:pPr>
              <w:jc w:val="left"/>
              <w:rPr>
                <w:rFonts w:cs="Times New Roman"/>
                <w:b/>
                <w:color w:val="000000"/>
                <w:sz w:val="20"/>
                <w:szCs w:val="20"/>
                <w:lang w:val="cs-CZ"/>
              </w:rPr>
            </w:pPr>
            <w:r w:rsidRPr="00B25A22">
              <w:rPr>
                <w:rFonts w:cs="Times New Roman"/>
                <w:b/>
                <w:color w:val="000000"/>
                <w:sz w:val="20"/>
                <w:szCs w:val="20"/>
                <w:lang w:val="cs-CZ"/>
              </w:rPr>
              <w:t>Rok</w:t>
            </w:r>
          </w:p>
        </w:tc>
        <w:tc>
          <w:tcPr>
            <w:tcW w:w="478" w:type="pct"/>
            <w:shd w:val="clear" w:color="auto" w:fill="auto"/>
            <w:noWrap/>
            <w:vAlign w:val="center"/>
            <w:hideMark/>
          </w:tcPr>
          <w:p w14:paraId="6ECDD841" w14:textId="77777777" w:rsidR="00AA3A5F" w:rsidRPr="00B25A22" w:rsidRDefault="00AA3A5F" w:rsidP="007A68D5">
            <w:pPr>
              <w:jc w:val="center"/>
              <w:rPr>
                <w:rFonts w:cs="Times New Roman"/>
                <w:b/>
                <w:color w:val="000000"/>
                <w:sz w:val="20"/>
                <w:szCs w:val="20"/>
                <w:lang w:val="cs-CZ"/>
              </w:rPr>
            </w:pPr>
            <w:r w:rsidRPr="00B25A22">
              <w:rPr>
                <w:rFonts w:cs="Times New Roman"/>
                <w:b/>
                <w:color w:val="000000"/>
                <w:sz w:val="20"/>
                <w:szCs w:val="20"/>
                <w:lang w:val="cs-CZ"/>
              </w:rPr>
              <w:t>2011</w:t>
            </w:r>
          </w:p>
        </w:tc>
        <w:tc>
          <w:tcPr>
            <w:tcW w:w="477" w:type="pct"/>
            <w:shd w:val="clear" w:color="auto" w:fill="auto"/>
            <w:noWrap/>
            <w:vAlign w:val="center"/>
            <w:hideMark/>
          </w:tcPr>
          <w:p w14:paraId="69EE197E" w14:textId="77777777" w:rsidR="00AA3A5F" w:rsidRPr="00B25A22" w:rsidRDefault="00AA3A5F" w:rsidP="007A68D5">
            <w:pPr>
              <w:jc w:val="center"/>
              <w:rPr>
                <w:rFonts w:cs="Times New Roman"/>
                <w:b/>
                <w:color w:val="000000"/>
                <w:sz w:val="20"/>
                <w:szCs w:val="20"/>
                <w:lang w:val="cs-CZ"/>
              </w:rPr>
            </w:pPr>
            <w:r w:rsidRPr="00B25A22">
              <w:rPr>
                <w:rFonts w:cs="Times New Roman"/>
                <w:b/>
                <w:color w:val="000000"/>
                <w:sz w:val="20"/>
                <w:szCs w:val="20"/>
                <w:lang w:val="cs-CZ"/>
              </w:rPr>
              <w:t>2012</w:t>
            </w:r>
          </w:p>
        </w:tc>
        <w:tc>
          <w:tcPr>
            <w:tcW w:w="477" w:type="pct"/>
            <w:shd w:val="clear" w:color="auto" w:fill="auto"/>
            <w:noWrap/>
            <w:vAlign w:val="center"/>
            <w:hideMark/>
          </w:tcPr>
          <w:p w14:paraId="6E54D58E" w14:textId="77777777" w:rsidR="00AA3A5F" w:rsidRPr="00B25A22" w:rsidRDefault="00AA3A5F" w:rsidP="007A68D5">
            <w:pPr>
              <w:jc w:val="center"/>
              <w:rPr>
                <w:rFonts w:cs="Times New Roman"/>
                <w:b/>
                <w:color w:val="000000"/>
                <w:sz w:val="20"/>
                <w:szCs w:val="20"/>
                <w:lang w:val="cs-CZ"/>
              </w:rPr>
            </w:pPr>
            <w:r w:rsidRPr="00B25A22">
              <w:rPr>
                <w:rFonts w:cs="Times New Roman"/>
                <w:b/>
                <w:color w:val="000000"/>
                <w:sz w:val="20"/>
                <w:szCs w:val="20"/>
                <w:lang w:val="cs-CZ"/>
              </w:rPr>
              <w:t>2013</w:t>
            </w:r>
          </w:p>
        </w:tc>
        <w:tc>
          <w:tcPr>
            <w:tcW w:w="477" w:type="pct"/>
            <w:shd w:val="clear" w:color="auto" w:fill="auto"/>
            <w:noWrap/>
            <w:vAlign w:val="center"/>
            <w:hideMark/>
          </w:tcPr>
          <w:p w14:paraId="4791A02C" w14:textId="77777777" w:rsidR="00AA3A5F" w:rsidRPr="00B25A22" w:rsidRDefault="00AA3A5F" w:rsidP="007A68D5">
            <w:pPr>
              <w:jc w:val="center"/>
              <w:rPr>
                <w:rFonts w:cs="Times New Roman"/>
                <w:b/>
                <w:color w:val="000000"/>
                <w:sz w:val="20"/>
                <w:szCs w:val="20"/>
                <w:lang w:val="cs-CZ"/>
              </w:rPr>
            </w:pPr>
            <w:r w:rsidRPr="00B25A22">
              <w:rPr>
                <w:rFonts w:cs="Times New Roman"/>
                <w:b/>
                <w:color w:val="000000"/>
                <w:sz w:val="20"/>
                <w:szCs w:val="20"/>
                <w:lang w:val="cs-CZ"/>
              </w:rPr>
              <w:t>2014</w:t>
            </w:r>
          </w:p>
        </w:tc>
        <w:tc>
          <w:tcPr>
            <w:tcW w:w="477" w:type="pct"/>
            <w:shd w:val="clear" w:color="auto" w:fill="auto"/>
            <w:noWrap/>
            <w:vAlign w:val="center"/>
            <w:hideMark/>
          </w:tcPr>
          <w:p w14:paraId="38BA8DEE" w14:textId="77777777" w:rsidR="00AA3A5F" w:rsidRPr="00B25A22" w:rsidRDefault="00AA3A5F" w:rsidP="007A68D5">
            <w:pPr>
              <w:jc w:val="center"/>
              <w:rPr>
                <w:rFonts w:cs="Times New Roman"/>
                <w:b/>
                <w:color w:val="000000"/>
                <w:sz w:val="20"/>
                <w:szCs w:val="20"/>
                <w:lang w:val="cs-CZ"/>
              </w:rPr>
            </w:pPr>
            <w:r w:rsidRPr="00B25A22">
              <w:rPr>
                <w:rFonts w:cs="Times New Roman"/>
                <w:b/>
                <w:color w:val="000000"/>
                <w:sz w:val="20"/>
                <w:szCs w:val="20"/>
                <w:lang w:val="cs-CZ"/>
              </w:rPr>
              <w:t>2015</w:t>
            </w:r>
          </w:p>
        </w:tc>
        <w:tc>
          <w:tcPr>
            <w:tcW w:w="477" w:type="pct"/>
            <w:shd w:val="clear" w:color="auto" w:fill="auto"/>
            <w:noWrap/>
            <w:vAlign w:val="center"/>
            <w:hideMark/>
          </w:tcPr>
          <w:p w14:paraId="67E3A40C" w14:textId="77777777" w:rsidR="00AA3A5F" w:rsidRPr="00B25A22" w:rsidRDefault="00AA3A5F" w:rsidP="007A68D5">
            <w:pPr>
              <w:jc w:val="center"/>
              <w:rPr>
                <w:rFonts w:cs="Times New Roman"/>
                <w:b/>
                <w:color w:val="000000"/>
                <w:sz w:val="20"/>
                <w:szCs w:val="20"/>
                <w:lang w:val="cs-CZ"/>
              </w:rPr>
            </w:pPr>
            <w:r w:rsidRPr="00B25A22">
              <w:rPr>
                <w:rFonts w:cs="Times New Roman"/>
                <w:b/>
                <w:color w:val="000000"/>
                <w:sz w:val="20"/>
                <w:szCs w:val="20"/>
                <w:lang w:val="cs-CZ"/>
              </w:rPr>
              <w:t>2016</w:t>
            </w:r>
          </w:p>
        </w:tc>
        <w:tc>
          <w:tcPr>
            <w:tcW w:w="477" w:type="pct"/>
            <w:vAlign w:val="center"/>
          </w:tcPr>
          <w:p w14:paraId="2319503B" w14:textId="77777777" w:rsidR="00AA3A5F" w:rsidRPr="00B25A22" w:rsidRDefault="00AA3A5F" w:rsidP="007A68D5">
            <w:pPr>
              <w:jc w:val="center"/>
              <w:rPr>
                <w:rFonts w:cs="Times New Roman"/>
                <w:b/>
                <w:color w:val="000000"/>
                <w:sz w:val="20"/>
                <w:szCs w:val="20"/>
                <w:lang w:val="cs-CZ"/>
              </w:rPr>
            </w:pPr>
            <w:r w:rsidRPr="00B25A22">
              <w:rPr>
                <w:rFonts w:cs="Times New Roman"/>
                <w:b/>
                <w:color w:val="000000"/>
                <w:sz w:val="20"/>
                <w:szCs w:val="20"/>
                <w:lang w:val="cs-CZ"/>
              </w:rPr>
              <w:t>2017</w:t>
            </w:r>
          </w:p>
        </w:tc>
        <w:tc>
          <w:tcPr>
            <w:tcW w:w="476" w:type="pct"/>
          </w:tcPr>
          <w:p w14:paraId="1D27A22E" w14:textId="77777777" w:rsidR="00AA3A5F" w:rsidRPr="00B25A22" w:rsidRDefault="00AA3A5F" w:rsidP="007A68D5">
            <w:pPr>
              <w:jc w:val="center"/>
              <w:rPr>
                <w:rFonts w:cs="Times New Roman"/>
                <w:b/>
                <w:color w:val="000000"/>
                <w:sz w:val="20"/>
                <w:szCs w:val="20"/>
                <w:lang w:val="cs-CZ"/>
              </w:rPr>
            </w:pPr>
            <w:r w:rsidRPr="00B25A22">
              <w:rPr>
                <w:rFonts w:cs="Times New Roman"/>
                <w:b/>
                <w:color w:val="000000"/>
                <w:sz w:val="20"/>
                <w:szCs w:val="20"/>
                <w:lang w:val="cs-CZ"/>
              </w:rPr>
              <w:t>2018</w:t>
            </w:r>
          </w:p>
        </w:tc>
        <w:tc>
          <w:tcPr>
            <w:tcW w:w="475" w:type="pct"/>
          </w:tcPr>
          <w:p w14:paraId="148581C6" w14:textId="77777777" w:rsidR="00AA3A5F" w:rsidRPr="00B25A22" w:rsidRDefault="00AA3A5F" w:rsidP="007A68D5">
            <w:pPr>
              <w:jc w:val="center"/>
              <w:rPr>
                <w:rFonts w:cs="Times New Roman"/>
                <w:b/>
                <w:color w:val="000000"/>
                <w:sz w:val="20"/>
                <w:szCs w:val="20"/>
                <w:lang w:val="cs-CZ"/>
              </w:rPr>
            </w:pPr>
            <w:r w:rsidRPr="00B25A22">
              <w:rPr>
                <w:rFonts w:cs="Times New Roman"/>
                <w:b/>
                <w:color w:val="000000"/>
                <w:sz w:val="20"/>
                <w:szCs w:val="20"/>
                <w:lang w:val="cs-CZ"/>
              </w:rPr>
              <w:t>2019</w:t>
            </w:r>
          </w:p>
        </w:tc>
      </w:tr>
      <w:tr w:rsidR="00AA3A5F" w:rsidRPr="00B25A22" w14:paraId="36DB38B0" w14:textId="77777777" w:rsidTr="007A68D5">
        <w:trPr>
          <w:trHeight w:val="315"/>
        </w:trPr>
        <w:tc>
          <w:tcPr>
            <w:tcW w:w="708" w:type="pct"/>
            <w:shd w:val="clear" w:color="auto" w:fill="auto"/>
            <w:noWrap/>
            <w:vAlign w:val="bottom"/>
            <w:hideMark/>
          </w:tcPr>
          <w:p w14:paraId="32EEADD2"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Počet</w:t>
            </w:r>
          </w:p>
        </w:tc>
        <w:tc>
          <w:tcPr>
            <w:tcW w:w="478" w:type="pct"/>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098F20B7" w14:textId="77777777" w:rsidR="00AA3A5F" w:rsidRPr="00B25A22" w:rsidRDefault="00AA3A5F" w:rsidP="007A68D5">
            <w:pPr>
              <w:jc w:val="center"/>
              <w:rPr>
                <w:rFonts w:cs="Times New Roman"/>
                <w:color w:val="000000"/>
                <w:sz w:val="20"/>
                <w:szCs w:val="20"/>
                <w:lang w:val="cs-CZ"/>
              </w:rPr>
            </w:pPr>
            <w:r w:rsidRPr="00B25A22">
              <w:rPr>
                <w:rFonts w:cs="Times New Roman"/>
                <w:b/>
                <w:bCs/>
                <w:color w:val="000000"/>
                <w:sz w:val="20"/>
                <w:szCs w:val="20"/>
                <w:lang w:val="cs-CZ"/>
              </w:rPr>
              <w:t xml:space="preserve">232   </w:t>
            </w:r>
          </w:p>
        </w:tc>
        <w:tc>
          <w:tcPr>
            <w:tcW w:w="477" w:type="pct"/>
            <w:tcBorders>
              <w:top w:val="single" w:sz="4" w:space="0" w:color="auto"/>
              <w:left w:val="nil"/>
              <w:bottom w:val="single" w:sz="4" w:space="0" w:color="auto"/>
              <w:right w:val="single" w:sz="4" w:space="0" w:color="auto"/>
            </w:tcBorders>
            <w:shd w:val="clear" w:color="000000" w:fill="FCE4D6"/>
            <w:noWrap/>
            <w:vAlign w:val="bottom"/>
            <w:hideMark/>
          </w:tcPr>
          <w:p w14:paraId="52E6D4A3" w14:textId="77777777" w:rsidR="00AA3A5F" w:rsidRPr="00B25A22" w:rsidRDefault="00AA3A5F" w:rsidP="007A68D5">
            <w:pPr>
              <w:jc w:val="center"/>
              <w:rPr>
                <w:rFonts w:cs="Times New Roman"/>
                <w:color w:val="000000"/>
                <w:sz w:val="20"/>
                <w:szCs w:val="20"/>
                <w:lang w:val="cs-CZ"/>
              </w:rPr>
            </w:pPr>
            <w:r w:rsidRPr="00B25A22">
              <w:rPr>
                <w:rFonts w:cs="Times New Roman"/>
                <w:b/>
                <w:bCs/>
                <w:color w:val="000000"/>
                <w:sz w:val="20"/>
                <w:szCs w:val="20"/>
                <w:lang w:val="cs-CZ"/>
              </w:rPr>
              <w:t xml:space="preserve">302   </w:t>
            </w:r>
          </w:p>
        </w:tc>
        <w:tc>
          <w:tcPr>
            <w:tcW w:w="477" w:type="pct"/>
            <w:tcBorders>
              <w:top w:val="single" w:sz="4" w:space="0" w:color="auto"/>
              <w:left w:val="nil"/>
              <w:bottom w:val="single" w:sz="4" w:space="0" w:color="auto"/>
              <w:right w:val="single" w:sz="4" w:space="0" w:color="auto"/>
            </w:tcBorders>
            <w:shd w:val="clear" w:color="000000" w:fill="FCE4D6"/>
            <w:noWrap/>
            <w:vAlign w:val="bottom"/>
            <w:hideMark/>
          </w:tcPr>
          <w:p w14:paraId="7C7847FA" w14:textId="77777777" w:rsidR="00AA3A5F" w:rsidRPr="00B25A22" w:rsidRDefault="00AA3A5F" w:rsidP="007A68D5">
            <w:pPr>
              <w:jc w:val="center"/>
              <w:rPr>
                <w:rFonts w:cs="Times New Roman"/>
                <w:color w:val="000000"/>
                <w:sz w:val="20"/>
                <w:szCs w:val="20"/>
                <w:lang w:val="cs-CZ"/>
              </w:rPr>
            </w:pPr>
            <w:r w:rsidRPr="00B25A22">
              <w:rPr>
                <w:rFonts w:cs="Times New Roman"/>
                <w:b/>
                <w:bCs/>
                <w:color w:val="000000"/>
                <w:sz w:val="20"/>
                <w:szCs w:val="20"/>
                <w:lang w:val="cs-CZ"/>
              </w:rPr>
              <w:t xml:space="preserve">254   </w:t>
            </w:r>
          </w:p>
        </w:tc>
        <w:tc>
          <w:tcPr>
            <w:tcW w:w="477" w:type="pct"/>
            <w:tcBorders>
              <w:top w:val="single" w:sz="4" w:space="0" w:color="auto"/>
              <w:left w:val="nil"/>
              <w:bottom w:val="single" w:sz="4" w:space="0" w:color="auto"/>
              <w:right w:val="single" w:sz="4" w:space="0" w:color="auto"/>
            </w:tcBorders>
            <w:shd w:val="clear" w:color="000000" w:fill="FCE4D6"/>
            <w:noWrap/>
            <w:vAlign w:val="bottom"/>
            <w:hideMark/>
          </w:tcPr>
          <w:p w14:paraId="2D6E4F10" w14:textId="77777777" w:rsidR="00AA3A5F" w:rsidRPr="00B25A22" w:rsidRDefault="00AA3A5F" w:rsidP="007A68D5">
            <w:pPr>
              <w:jc w:val="center"/>
              <w:rPr>
                <w:rFonts w:cs="Times New Roman"/>
                <w:color w:val="000000"/>
                <w:sz w:val="20"/>
                <w:szCs w:val="20"/>
                <w:lang w:val="cs-CZ"/>
              </w:rPr>
            </w:pPr>
            <w:r w:rsidRPr="00B25A22">
              <w:rPr>
                <w:rFonts w:cs="Times New Roman"/>
                <w:b/>
                <w:bCs/>
                <w:color w:val="000000"/>
                <w:sz w:val="20"/>
                <w:szCs w:val="20"/>
                <w:lang w:val="cs-CZ"/>
              </w:rPr>
              <w:t xml:space="preserve">285   </w:t>
            </w:r>
          </w:p>
        </w:tc>
        <w:tc>
          <w:tcPr>
            <w:tcW w:w="477" w:type="pct"/>
            <w:tcBorders>
              <w:top w:val="single" w:sz="4" w:space="0" w:color="auto"/>
              <w:left w:val="nil"/>
              <w:bottom w:val="single" w:sz="4" w:space="0" w:color="auto"/>
              <w:right w:val="single" w:sz="4" w:space="0" w:color="auto"/>
            </w:tcBorders>
            <w:shd w:val="clear" w:color="000000" w:fill="FCE4D6"/>
            <w:noWrap/>
            <w:vAlign w:val="bottom"/>
            <w:hideMark/>
          </w:tcPr>
          <w:p w14:paraId="7BDBDB6C" w14:textId="77777777" w:rsidR="00AA3A5F" w:rsidRPr="00B25A22" w:rsidRDefault="00AA3A5F" w:rsidP="007A68D5">
            <w:pPr>
              <w:jc w:val="center"/>
              <w:rPr>
                <w:rFonts w:cs="Times New Roman"/>
                <w:color w:val="000000"/>
                <w:sz w:val="20"/>
                <w:szCs w:val="20"/>
                <w:lang w:val="cs-CZ"/>
              </w:rPr>
            </w:pPr>
            <w:r w:rsidRPr="00B25A22">
              <w:rPr>
                <w:rFonts w:cs="Times New Roman"/>
                <w:b/>
                <w:bCs/>
                <w:color w:val="000000"/>
                <w:sz w:val="20"/>
                <w:szCs w:val="20"/>
                <w:lang w:val="cs-CZ"/>
              </w:rPr>
              <w:t xml:space="preserve">292   </w:t>
            </w:r>
          </w:p>
        </w:tc>
        <w:tc>
          <w:tcPr>
            <w:tcW w:w="477" w:type="pct"/>
            <w:tcBorders>
              <w:top w:val="single" w:sz="4" w:space="0" w:color="auto"/>
              <w:left w:val="nil"/>
              <w:bottom w:val="single" w:sz="4" w:space="0" w:color="auto"/>
              <w:right w:val="single" w:sz="4" w:space="0" w:color="auto"/>
            </w:tcBorders>
            <w:shd w:val="clear" w:color="000000" w:fill="FCE4D6"/>
            <w:noWrap/>
            <w:vAlign w:val="bottom"/>
            <w:hideMark/>
          </w:tcPr>
          <w:p w14:paraId="3C7DAA6E" w14:textId="77777777" w:rsidR="00AA3A5F" w:rsidRPr="00B25A22" w:rsidRDefault="00AA3A5F" w:rsidP="007A68D5">
            <w:pPr>
              <w:jc w:val="center"/>
              <w:rPr>
                <w:rFonts w:cs="Times New Roman"/>
                <w:color w:val="000000"/>
                <w:sz w:val="20"/>
                <w:szCs w:val="20"/>
                <w:lang w:val="cs-CZ"/>
              </w:rPr>
            </w:pPr>
            <w:r w:rsidRPr="00B25A22">
              <w:rPr>
                <w:rFonts w:cs="Times New Roman"/>
                <w:b/>
                <w:bCs/>
                <w:color w:val="000000"/>
                <w:sz w:val="20"/>
                <w:szCs w:val="20"/>
                <w:lang w:val="cs-CZ"/>
              </w:rPr>
              <w:t xml:space="preserve">300   </w:t>
            </w:r>
          </w:p>
        </w:tc>
        <w:tc>
          <w:tcPr>
            <w:tcW w:w="477" w:type="pct"/>
            <w:tcBorders>
              <w:top w:val="single" w:sz="4" w:space="0" w:color="auto"/>
              <w:left w:val="nil"/>
              <w:bottom w:val="single" w:sz="4" w:space="0" w:color="auto"/>
              <w:right w:val="single" w:sz="4" w:space="0" w:color="auto"/>
            </w:tcBorders>
            <w:shd w:val="clear" w:color="000000" w:fill="FCE4D6"/>
            <w:vAlign w:val="bottom"/>
          </w:tcPr>
          <w:p w14:paraId="3C0022E4" w14:textId="77777777" w:rsidR="00AA3A5F" w:rsidRPr="00B25A22" w:rsidRDefault="00AA3A5F" w:rsidP="007A68D5">
            <w:pPr>
              <w:jc w:val="center"/>
              <w:rPr>
                <w:rFonts w:cs="Times New Roman"/>
                <w:color w:val="000000"/>
                <w:sz w:val="20"/>
                <w:szCs w:val="20"/>
                <w:lang w:val="cs-CZ"/>
              </w:rPr>
            </w:pPr>
            <w:r w:rsidRPr="00B25A22">
              <w:rPr>
                <w:rFonts w:cs="Times New Roman"/>
                <w:b/>
                <w:bCs/>
                <w:color w:val="000000"/>
                <w:sz w:val="20"/>
                <w:szCs w:val="20"/>
                <w:lang w:val="cs-CZ"/>
              </w:rPr>
              <w:t xml:space="preserve">287   </w:t>
            </w:r>
          </w:p>
        </w:tc>
        <w:tc>
          <w:tcPr>
            <w:tcW w:w="476" w:type="pct"/>
            <w:tcBorders>
              <w:top w:val="single" w:sz="4" w:space="0" w:color="auto"/>
              <w:left w:val="nil"/>
              <w:bottom w:val="single" w:sz="4" w:space="0" w:color="auto"/>
              <w:right w:val="single" w:sz="4" w:space="0" w:color="auto"/>
            </w:tcBorders>
            <w:shd w:val="clear" w:color="000000" w:fill="FCE4D6"/>
            <w:vAlign w:val="bottom"/>
          </w:tcPr>
          <w:p w14:paraId="6C475200" w14:textId="77777777" w:rsidR="00AA3A5F" w:rsidRPr="00B25A22" w:rsidRDefault="00AA3A5F" w:rsidP="007A68D5">
            <w:pPr>
              <w:jc w:val="center"/>
              <w:rPr>
                <w:rFonts w:cs="Times New Roman"/>
                <w:color w:val="000000"/>
                <w:sz w:val="20"/>
                <w:szCs w:val="20"/>
                <w:lang w:val="cs-CZ"/>
              </w:rPr>
            </w:pPr>
            <w:r w:rsidRPr="00B25A22">
              <w:rPr>
                <w:rFonts w:cs="Times New Roman"/>
                <w:b/>
                <w:bCs/>
                <w:color w:val="000000"/>
                <w:sz w:val="20"/>
                <w:szCs w:val="20"/>
                <w:lang w:val="cs-CZ"/>
              </w:rPr>
              <w:t xml:space="preserve">287   </w:t>
            </w:r>
          </w:p>
        </w:tc>
        <w:tc>
          <w:tcPr>
            <w:tcW w:w="475" w:type="pct"/>
            <w:tcBorders>
              <w:top w:val="single" w:sz="4" w:space="0" w:color="auto"/>
              <w:left w:val="nil"/>
              <w:bottom w:val="single" w:sz="4" w:space="0" w:color="auto"/>
              <w:right w:val="single" w:sz="4" w:space="0" w:color="auto"/>
            </w:tcBorders>
            <w:shd w:val="clear" w:color="000000" w:fill="FCE4D6"/>
            <w:vAlign w:val="bottom"/>
          </w:tcPr>
          <w:p w14:paraId="0721CDA7" w14:textId="77777777" w:rsidR="00AA3A5F" w:rsidRPr="00B25A22" w:rsidRDefault="00AA3A5F" w:rsidP="007A68D5">
            <w:pPr>
              <w:jc w:val="center"/>
              <w:rPr>
                <w:rFonts w:cs="Times New Roman"/>
                <w:color w:val="000000"/>
                <w:sz w:val="20"/>
                <w:szCs w:val="20"/>
                <w:lang w:val="cs-CZ"/>
              </w:rPr>
            </w:pPr>
            <w:r w:rsidRPr="00B25A22">
              <w:rPr>
                <w:rFonts w:cs="Times New Roman"/>
                <w:b/>
                <w:bCs/>
                <w:color w:val="000000"/>
                <w:sz w:val="20"/>
                <w:szCs w:val="20"/>
                <w:lang w:val="cs-CZ"/>
              </w:rPr>
              <w:t xml:space="preserve">329   </w:t>
            </w:r>
          </w:p>
        </w:tc>
      </w:tr>
    </w:tbl>
    <w:p w14:paraId="131A9A8C" w14:textId="77777777" w:rsidR="00AA3A5F" w:rsidRPr="00B25A22" w:rsidRDefault="00AA3A5F" w:rsidP="00DB6AFE">
      <w:pPr>
        <w:pStyle w:val="UZEIZdroj"/>
      </w:pPr>
      <w:r w:rsidRPr="00B25A22">
        <w:t>*) Údaj o počtu tržišť, kde vykonávala dozor SVS ČR, rok 2019 - zpřesněna evidence v odborném informačním systému (OIS) SVS</w:t>
      </w:r>
    </w:p>
    <w:p w14:paraId="7EA7A1D5" w14:textId="77777777" w:rsidR="00AA3A5F" w:rsidRPr="00B25A22" w:rsidRDefault="00AA3A5F" w:rsidP="00DB6AFE">
      <w:pPr>
        <w:pStyle w:val="UZEIZdroj"/>
      </w:pPr>
      <w:r w:rsidRPr="00B25A22">
        <w:t>Pramen: Státní veterinární správa</w:t>
      </w:r>
    </w:p>
    <w:p w14:paraId="747B345C" w14:textId="698FA294" w:rsidR="00AA3A5F" w:rsidRPr="00B25A22" w:rsidRDefault="00AA3A5F" w:rsidP="00F673CE">
      <w:pPr>
        <w:pStyle w:val="UZEINormaln"/>
        <w:rPr>
          <w:rFonts w:cs="Times New Roman"/>
        </w:rPr>
      </w:pPr>
      <w:r w:rsidRPr="00B25A22">
        <w:rPr>
          <w:rFonts w:cs="Times New Roman"/>
        </w:rPr>
        <w:t xml:space="preserve">Dalším dílčím poznatkem pro podchycení alternativních forem prodeje je </w:t>
      </w:r>
      <w:r w:rsidRPr="00B25A22">
        <w:rPr>
          <w:rFonts w:cs="Times New Roman"/>
          <w:b/>
          <w:caps/>
        </w:rPr>
        <w:t>přímý prodej ze zemědělského podniku</w:t>
      </w:r>
      <w:r w:rsidRPr="00B25A22">
        <w:rPr>
          <w:rFonts w:cs="Times New Roman"/>
        </w:rPr>
        <w:t>. V odvětví mléka jsou podíly velmi nízké. V roce 2014 činil podíl přímého prodeje ze zemědělského podniku na množství mléka dodaného ke zpracování jen 0,41 % a do roku 2017 se zvýšil jen na 0,52 %.  V roce 2018 dosáhl podíl 0,57 %. Dle databáze SVS ČR je k 15. 7. 2020 registrováno 237 výrob pro přímý prodej mléčných výrobků, k tomuto datu byla SVS schválena registrace pro 177 mléčných automatů a 4 automaty na mléčné výrobky. Schválení a registraci pro přímý prodej syrového mléka ze dvora má od SVS k červenci 2020 celkem 616 subjektů. V odvětví mléka bylo K 31. 12. 2018 evidováno z 1 512 producentů dodávajících prvnímu kupujícímu (odbytové organizaci a/nebo zpracovateli) a 427 producentů přímého prodeje, což je 28,2 %. V roce 2019 klesl počet na 1 473 producentů dodávajících prvnímu kupujícímu a naopak počet producentů přímého prodeje vzrostl na 502, tj. což je 34% podíl</w:t>
      </w:r>
      <w:r w:rsidR="00F673CE" w:rsidRPr="00B25A22">
        <w:rPr>
          <w:rFonts w:cs="Times New Roman"/>
        </w:rPr>
        <w:t>.</w:t>
      </w:r>
    </w:p>
    <w:p w14:paraId="35949127" w14:textId="77777777" w:rsidR="00AA3A5F" w:rsidRPr="00B25A22" w:rsidRDefault="00AA3A5F" w:rsidP="00BA3563">
      <w:pPr>
        <w:pStyle w:val="Odstavecseseznamem"/>
        <w:numPr>
          <w:ilvl w:val="0"/>
          <w:numId w:val="35"/>
        </w:numPr>
        <w:rPr>
          <w:b/>
          <w:bCs/>
        </w:rPr>
      </w:pPr>
      <w:r w:rsidRPr="00B25A22">
        <w:rPr>
          <w:b/>
          <w:bCs/>
        </w:rPr>
        <w:t xml:space="preserve">Organizace prvovýrobců a odbytová sdružení, které by zvyšovaly tržní sílu zemědělců vůči zpracovatelskému sektoru, jsou ve většině odvětví formální nebo nefungují vůbec. </w:t>
      </w:r>
    </w:p>
    <w:p w14:paraId="1F915605" w14:textId="77777777" w:rsidR="00AA3A5F" w:rsidRPr="00B25A22" w:rsidRDefault="00AA3A5F" w:rsidP="00EE31DA">
      <w:pPr>
        <w:pStyle w:val="UZEINormaln"/>
        <w:rPr>
          <w:rFonts w:eastAsia="Calibri" w:cs="Times New Roman"/>
        </w:rPr>
      </w:pPr>
      <w:r w:rsidRPr="00B25A22">
        <w:rPr>
          <w:rFonts w:eastAsia="Calibri" w:cs="Times New Roman"/>
        </w:rPr>
        <w:t>Organizace prvovýrobců a odbytová sdružení, které by zvyšovaly tržní sílu zemědělců vůči zpracovatelskému sektoru, jsou v podstatě jen v sektoru ovoce a zeleniny a mléka.</w:t>
      </w:r>
    </w:p>
    <w:p w14:paraId="259DB0EB" w14:textId="77777777" w:rsidR="00AA3A5F" w:rsidRPr="00B25A22" w:rsidRDefault="00AA3A5F" w:rsidP="00EE31DA">
      <w:pPr>
        <w:pStyle w:val="UZEINormaln"/>
        <w:rPr>
          <w:rFonts w:eastAsia="Calibri" w:cs="Times New Roman"/>
        </w:rPr>
      </w:pPr>
      <w:r w:rsidRPr="00B25A22">
        <w:rPr>
          <w:rFonts w:eastAsia="Calibri" w:cs="Times New Roman"/>
        </w:rPr>
        <w:t xml:space="preserve">Sdružování v prvovýrobě však nemůže zachránit úspěšnost řetězce, pokud se v něm nachází další neefektivní článek. </w:t>
      </w:r>
      <w:r w:rsidRPr="00B25A22">
        <w:rPr>
          <w:rFonts w:cs="Times New Roman"/>
        </w:rPr>
        <w:t xml:space="preserve">V ČR je v porovnání se sousedními zeměmi (zejména s Německem </w:t>
      </w:r>
      <w:r w:rsidRPr="00B25A22">
        <w:rPr>
          <w:rFonts w:cs="Times New Roman"/>
        </w:rPr>
        <w:lastRenderedPageBreak/>
        <w:t>a Rakouskem) nižší výkonnost zpracovatelského průmyslu</w:t>
      </w:r>
      <w:r w:rsidRPr="00B25A22">
        <w:rPr>
          <w:rStyle w:val="Znakapoznpodarou"/>
          <w:vertAlign w:val="baseline"/>
        </w:rPr>
        <w:footnoteReference w:id="10"/>
      </w:r>
      <w:r w:rsidRPr="00B25A22">
        <w:rPr>
          <w:rFonts w:cs="Times New Roman"/>
        </w:rPr>
        <w:t>, která je důsledkem produkce výrobků s nižší přidanou hodnotou, záporného salda zahraničního obchodu, nedostatku pracovních sil a jejich nízké produktivity.</w:t>
      </w:r>
      <w:r w:rsidRPr="00B25A22">
        <w:rPr>
          <w:rFonts w:eastAsia="Calibri" w:cs="Times New Roman"/>
        </w:rPr>
        <w:t xml:space="preserve"> </w:t>
      </w:r>
      <w:bookmarkStart w:id="33" w:name="_Hlk5868129"/>
      <w:r w:rsidRPr="00B25A22">
        <w:rPr>
          <w:rFonts w:cs="Times New Roman"/>
        </w:rPr>
        <w:t>Objem výroby zpracovatelského průmyslu je ovlivněn možností uplatnit své produkty na tuzemském či zahraničním trhu. Rozhodující pro odbyt potravinářských výrobků je poptávka, a to jak nadnárodních řetězců, akceptující požadavky spotřebitelů, tak dovozových zemí. Pro výrobce potravin z toho plyne nutnost přizpůsobit výrobu náročným požadavkům obchodních řetězců. Jde zejména o zajištění dostatečného objemu nabídky, plynulosti dodávek, stabilní kvality a odpovídajících cen výrobků.</w:t>
      </w:r>
      <w:bookmarkEnd w:id="33"/>
      <w:r w:rsidRPr="00B25A22">
        <w:rPr>
          <w:rFonts w:cs="Times New Roman"/>
        </w:rPr>
        <w:t xml:space="preserve"> </w:t>
      </w:r>
      <w:r w:rsidRPr="00B25A22">
        <w:rPr>
          <w:rFonts w:eastAsia="Calibri" w:cs="Times New Roman"/>
        </w:rPr>
        <w:t>Pozici domácích zemědělských výrobců v hodnotovém řetězci tak zlepšuje zahraniční zpracovatelský průmysl s nabídkou vyšších CZV a poptávka ze zahraničí jim dodává tržní sílu proti domácímu zpracovatelskému průmyslu.</w:t>
      </w:r>
    </w:p>
    <w:p w14:paraId="2D98FC91" w14:textId="77777777" w:rsidR="00AA3A5F" w:rsidRPr="00B25A22" w:rsidRDefault="00AA3A5F" w:rsidP="00EE31DA">
      <w:pPr>
        <w:pStyle w:val="UZEINormaln"/>
        <w:rPr>
          <w:rFonts w:cs="Times New Roman"/>
        </w:rPr>
      </w:pPr>
      <w:r w:rsidRPr="00B25A22">
        <w:rPr>
          <w:rFonts w:cs="Times New Roman"/>
        </w:rPr>
        <w:t xml:space="preserve">Zakládání organizací producentů a zvyšování účasti producentů v organizacích producentů vedou ke zvyšování koncentrace v oblasti prodeje zemědělských výrobků. Hodnoty koncentrace na jednotlivých stupních výrobně spotřební vertikály jsou důležitým, nikoliv však výhradním ukazatelem tržní síly (a postavení zemědělců). Je nutné brát v úvahu též zejména kvalitativní prvky organizací producentů, též např. jejich regionální rozložení a další rysy. Nicméně v další části jsou uvedeny kvantitativní data koncentrace vybraných odvětví, která poskytují alespoň výchozí pohled z hlediska rozložení sil ve vertikále.  </w:t>
      </w:r>
    </w:p>
    <w:p w14:paraId="611E0E4E" w14:textId="77777777" w:rsidR="00AA3A5F" w:rsidRPr="00E57A20" w:rsidRDefault="00AA3A5F" w:rsidP="00E57A20">
      <w:pPr>
        <w:pStyle w:val="UZEINormaln"/>
        <w:rPr>
          <w:b/>
          <w:bCs/>
        </w:rPr>
      </w:pPr>
      <w:r w:rsidRPr="00E57A20">
        <w:rPr>
          <w:b/>
          <w:bCs/>
        </w:rPr>
        <w:t>Koncentrace výroby a prodeje ve vybraných odvětvích</w:t>
      </w:r>
      <w:r w:rsidRPr="00E57A20">
        <w:rPr>
          <w:rStyle w:val="Znakapoznpodarou"/>
          <w:b/>
          <w:bCs/>
          <w:caps/>
        </w:rPr>
        <w:footnoteReference w:id="11"/>
      </w:r>
      <w:r w:rsidRPr="00E57A20">
        <w:rPr>
          <w:b/>
          <w:bCs/>
        </w:rPr>
        <w:t>.</w:t>
      </w:r>
    </w:p>
    <w:p w14:paraId="5917B90D" w14:textId="77777777" w:rsidR="00AA3A5F" w:rsidRPr="00B25A22" w:rsidRDefault="00AA3A5F" w:rsidP="00EE31DA">
      <w:pPr>
        <w:pStyle w:val="UZEINormaln"/>
        <w:rPr>
          <w:rFonts w:cs="Times New Roman"/>
          <w:b/>
          <w:bCs/>
        </w:rPr>
      </w:pPr>
      <w:r w:rsidRPr="00B25A22">
        <w:rPr>
          <w:rFonts w:cs="Times New Roman"/>
          <w:b/>
          <w:bCs/>
        </w:rPr>
        <w:t>Mléko</w:t>
      </w:r>
    </w:p>
    <w:p w14:paraId="2086DCE9" w14:textId="66DE9B38" w:rsidR="00AA3A5F" w:rsidRPr="00B25A22" w:rsidRDefault="00AA3A5F" w:rsidP="00EE31DA">
      <w:pPr>
        <w:pStyle w:val="UZEINormaln"/>
        <w:rPr>
          <w:rFonts w:cs="Times New Roman"/>
        </w:rPr>
      </w:pPr>
      <w:r w:rsidRPr="00B25A22">
        <w:rPr>
          <w:rFonts w:cs="Times New Roman"/>
        </w:rPr>
        <w:t>Koncentrace prodeje mléka se vlivem několika málo uznaných organizací výrobců téměř vyrovnala koncentraci zpracovatelů. Přesto je podle ukazatele HHI koncentrace v prvovýrobě, prodeji i zpracování na nízkém stupni. Hodnoty HHI</w:t>
      </w:r>
      <w:r w:rsidRPr="00B25A22">
        <w:rPr>
          <w:rStyle w:val="Znakapoznpodarou"/>
        </w:rPr>
        <w:footnoteReference w:id="12"/>
      </w:r>
      <w:r w:rsidRPr="00B25A22">
        <w:rPr>
          <w:rFonts w:cs="Times New Roman"/>
        </w:rPr>
        <w:t xml:space="preserve"> ukazují, že až po zpracování se na trhu nevyskytuje subjekt s výraznou převahou. Na trhu tedy neexistuje vyvažující síla vůči maloobchodu.</w:t>
      </w:r>
    </w:p>
    <w:p w14:paraId="70D587DF" w14:textId="18C74139" w:rsidR="00AA3A5F" w:rsidRPr="00B25A22" w:rsidRDefault="00AA3A5F" w:rsidP="00EE31DA">
      <w:pPr>
        <w:pStyle w:val="UZEITaB"/>
        <w:rPr>
          <w:rFonts w:cs="Times New Roman"/>
        </w:rPr>
      </w:pPr>
      <w:bookmarkStart w:id="34" w:name="_Toc81743442"/>
      <w:r w:rsidRPr="00B25A22">
        <w:rPr>
          <w:rFonts w:cs="Times New Roman"/>
        </w:rPr>
        <w:t xml:space="preserve">Vývoj koncentrace výroby a zpracování mléka podle </w:t>
      </w:r>
      <w:proofErr w:type="spellStart"/>
      <w:r w:rsidRPr="00B25A22">
        <w:rPr>
          <w:rFonts w:cs="Times New Roman"/>
        </w:rPr>
        <w:t>Herfindahl-Hirschmanova</w:t>
      </w:r>
      <w:proofErr w:type="spellEnd"/>
      <w:r w:rsidRPr="00B25A22">
        <w:rPr>
          <w:rFonts w:cs="Times New Roman"/>
        </w:rPr>
        <w:t xml:space="preserve"> indexu (HHI)</w:t>
      </w:r>
      <w:bookmarkEnd w:id="34"/>
    </w:p>
    <w:tbl>
      <w:tblPr>
        <w:tblW w:w="9386" w:type="dxa"/>
        <w:tblCellMar>
          <w:left w:w="70" w:type="dxa"/>
          <w:right w:w="70" w:type="dxa"/>
        </w:tblCellMar>
        <w:tblLook w:val="04A0" w:firstRow="1" w:lastRow="0" w:firstColumn="1" w:lastColumn="0" w:noHBand="0" w:noVBand="1"/>
      </w:tblPr>
      <w:tblGrid>
        <w:gridCol w:w="2308"/>
        <w:gridCol w:w="885"/>
        <w:gridCol w:w="885"/>
        <w:gridCol w:w="913"/>
        <w:gridCol w:w="913"/>
        <w:gridCol w:w="828"/>
        <w:gridCol w:w="1054"/>
        <w:gridCol w:w="974"/>
        <w:gridCol w:w="626"/>
      </w:tblGrid>
      <w:tr w:rsidR="00AA3A5F" w:rsidRPr="00B25A22" w14:paraId="6891C082" w14:textId="77777777" w:rsidTr="007A68D5">
        <w:trPr>
          <w:trHeight w:val="300"/>
        </w:trPr>
        <w:tc>
          <w:tcPr>
            <w:tcW w:w="230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ACA5CD0" w14:textId="77777777" w:rsidR="00AA3A5F" w:rsidRPr="00B25A22" w:rsidRDefault="00AA3A5F" w:rsidP="007A68D5">
            <w:pPr>
              <w:rPr>
                <w:rFonts w:cs="Times New Roman"/>
                <w:color w:val="000000"/>
                <w:sz w:val="20"/>
                <w:szCs w:val="20"/>
                <w:lang w:val="cs-CZ"/>
              </w:rPr>
            </w:pPr>
            <w:r w:rsidRPr="00B25A22">
              <w:rPr>
                <w:rFonts w:cs="Times New Roman"/>
                <w:color w:val="000000"/>
                <w:sz w:val="20"/>
                <w:szCs w:val="20"/>
                <w:lang w:val="cs-CZ"/>
              </w:rPr>
              <w:t> </w:t>
            </w:r>
          </w:p>
        </w:tc>
        <w:tc>
          <w:tcPr>
            <w:tcW w:w="177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057797E"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HHI</w:t>
            </w:r>
          </w:p>
        </w:tc>
        <w:tc>
          <w:tcPr>
            <w:tcW w:w="2654" w:type="dxa"/>
            <w:gridSpan w:val="3"/>
            <w:tcBorders>
              <w:top w:val="single" w:sz="8" w:space="0" w:color="auto"/>
              <w:left w:val="nil"/>
              <w:bottom w:val="single" w:sz="4" w:space="0" w:color="auto"/>
              <w:right w:val="single" w:sz="4" w:space="0" w:color="auto"/>
            </w:tcBorders>
            <w:shd w:val="clear" w:color="auto" w:fill="auto"/>
            <w:noWrap/>
            <w:vAlign w:val="center"/>
            <w:hideMark/>
          </w:tcPr>
          <w:p w14:paraId="46DCC01F"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Počet subjektů (n)</w:t>
            </w:r>
          </w:p>
        </w:tc>
        <w:tc>
          <w:tcPr>
            <w:tcW w:w="2654"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1DC34DF0"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Objem mléka (tis. t)</w:t>
            </w:r>
          </w:p>
        </w:tc>
      </w:tr>
      <w:tr w:rsidR="00AA3A5F" w:rsidRPr="00B25A22" w14:paraId="25E2A4EE" w14:textId="77777777" w:rsidTr="007A68D5">
        <w:trPr>
          <w:trHeight w:val="300"/>
        </w:trPr>
        <w:tc>
          <w:tcPr>
            <w:tcW w:w="2308" w:type="dxa"/>
            <w:tcBorders>
              <w:top w:val="nil"/>
              <w:left w:val="single" w:sz="8" w:space="0" w:color="auto"/>
              <w:bottom w:val="single" w:sz="4" w:space="0" w:color="auto"/>
              <w:right w:val="single" w:sz="4" w:space="0" w:color="auto"/>
            </w:tcBorders>
            <w:shd w:val="clear" w:color="auto" w:fill="auto"/>
            <w:noWrap/>
            <w:vAlign w:val="center"/>
            <w:hideMark/>
          </w:tcPr>
          <w:p w14:paraId="3A9330A4" w14:textId="77777777" w:rsidR="00AA3A5F" w:rsidRPr="00B25A22" w:rsidRDefault="00AA3A5F" w:rsidP="007A68D5">
            <w:pPr>
              <w:rPr>
                <w:rFonts w:cs="Times New Roman"/>
                <w:color w:val="000000"/>
                <w:sz w:val="20"/>
                <w:szCs w:val="20"/>
                <w:lang w:val="cs-CZ"/>
              </w:rPr>
            </w:pPr>
            <w:r w:rsidRPr="00B25A22">
              <w:rPr>
                <w:rFonts w:cs="Times New Roman"/>
                <w:color w:val="000000"/>
                <w:sz w:val="20"/>
                <w:szCs w:val="20"/>
                <w:lang w:val="cs-CZ"/>
              </w:rPr>
              <w:t> </w:t>
            </w:r>
          </w:p>
        </w:tc>
        <w:tc>
          <w:tcPr>
            <w:tcW w:w="885" w:type="dxa"/>
            <w:tcBorders>
              <w:top w:val="nil"/>
              <w:left w:val="nil"/>
              <w:bottom w:val="single" w:sz="4" w:space="0" w:color="auto"/>
              <w:right w:val="single" w:sz="4" w:space="0" w:color="auto"/>
            </w:tcBorders>
            <w:shd w:val="clear" w:color="000000" w:fill="D9D9D9"/>
            <w:noWrap/>
            <w:vAlign w:val="center"/>
            <w:hideMark/>
          </w:tcPr>
          <w:p w14:paraId="3BBDCF42"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2011</w:t>
            </w:r>
          </w:p>
        </w:tc>
        <w:tc>
          <w:tcPr>
            <w:tcW w:w="885" w:type="dxa"/>
            <w:tcBorders>
              <w:top w:val="nil"/>
              <w:left w:val="nil"/>
              <w:bottom w:val="single" w:sz="4" w:space="0" w:color="auto"/>
              <w:right w:val="single" w:sz="4" w:space="0" w:color="auto"/>
            </w:tcBorders>
            <w:shd w:val="clear" w:color="000000" w:fill="D9D9D9"/>
            <w:noWrap/>
            <w:vAlign w:val="center"/>
            <w:hideMark/>
          </w:tcPr>
          <w:p w14:paraId="7BC4DBFB"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2016</w:t>
            </w:r>
          </w:p>
        </w:tc>
        <w:tc>
          <w:tcPr>
            <w:tcW w:w="913" w:type="dxa"/>
            <w:tcBorders>
              <w:top w:val="nil"/>
              <w:left w:val="nil"/>
              <w:bottom w:val="single" w:sz="4" w:space="0" w:color="auto"/>
              <w:right w:val="single" w:sz="4" w:space="0" w:color="auto"/>
            </w:tcBorders>
            <w:shd w:val="clear" w:color="auto" w:fill="auto"/>
            <w:noWrap/>
            <w:vAlign w:val="center"/>
            <w:hideMark/>
          </w:tcPr>
          <w:p w14:paraId="4A38378D"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2011</w:t>
            </w:r>
          </w:p>
        </w:tc>
        <w:tc>
          <w:tcPr>
            <w:tcW w:w="913" w:type="dxa"/>
            <w:tcBorders>
              <w:top w:val="nil"/>
              <w:left w:val="nil"/>
              <w:bottom w:val="single" w:sz="4" w:space="0" w:color="auto"/>
              <w:right w:val="single" w:sz="4" w:space="0" w:color="auto"/>
            </w:tcBorders>
            <w:shd w:val="clear" w:color="auto" w:fill="auto"/>
            <w:noWrap/>
            <w:vAlign w:val="center"/>
            <w:hideMark/>
          </w:tcPr>
          <w:p w14:paraId="69B7F05D"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2016</w:t>
            </w:r>
          </w:p>
        </w:tc>
        <w:tc>
          <w:tcPr>
            <w:tcW w:w="828" w:type="dxa"/>
            <w:tcBorders>
              <w:top w:val="nil"/>
              <w:left w:val="nil"/>
              <w:bottom w:val="single" w:sz="4" w:space="0" w:color="auto"/>
              <w:right w:val="single" w:sz="4" w:space="0" w:color="auto"/>
            </w:tcBorders>
            <w:shd w:val="clear" w:color="auto" w:fill="auto"/>
            <w:noWrap/>
            <w:vAlign w:val="center"/>
            <w:hideMark/>
          </w:tcPr>
          <w:p w14:paraId="508D1F50"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2019</w:t>
            </w:r>
          </w:p>
        </w:tc>
        <w:tc>
          <w:tcPr>
            <w:tcW w:w="1054" w:type="dxa"/>
            <w:tcBorders>
              <w:top w:val="nil"/>
              <w:left w:val="nil"/>
              <w:bottom w:val="single" w:sz="4" w:space="0" w:color="auto"/>
              <w:right w:val="single" w:sz="4" w:space="0" w:color="auto"/>
            </w:tcBorders>
            <w:shd w:val="clear" w:color="auto" w:fill="auto"/>
            <w:noWrap/>
            <w:vAlign w:val="center"/>
            <w:hideMark/>
          </w:tcPr>
          <w:p w14:paraId="50F71FBF"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2011</w:t>
            </w:r>
          </w:p>
        </w:tc>
        <w:tc>
          <w:tcPr>
            <w:tcW w:w="974" w:type="dxa"/>
            <w:tcBorders>
              <w:top w:val="nil"/>
              <w:left w:val="nil"/>
              <w:bottom w:val="single" w:sz="4" w:space="0" w:color="auto"/>
              <w:right w:val="single" w:sz="4" w:space="0" w:color="auto"/>
            </w:tcBorders>
            <w:shd w:val="clear" w:color="auto" w:fill="auto"/>
            <w:noWrap/>
            <w:vAlign w:val="center"/>
            <w:hideMark/>
          </w:tcPr>
          <w:p w14:paraId="3389BA81"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2016</w:t>
            </w:r>
          </w:p>
        </w:tc>
        <w:tc>
          <w:tcPr>
            <w:tcW w:w="626" w:type="dxa"/>
            <w:tcBorders>
              <w:top w:val="nil"/>
              <w:left w:val="nil"/>
              <w:bottom w:val="single" w:sz="4" w:space="0" w:color="auto"/>
              <w:right w:val="single" w:sz="8" w:space="0" w:color="auto"/>
            </w:tcBorders>
            <w:shd w:val="clear" w:color="auto" w:fill="auto"/>
            <w:noWrap/>
            <w:vAlign w:val="center"/>
            <w:hideMark/>
          </w:tcPr>
          <w:p w14:paraId="45C4B1B7"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2019</w:t>
            </w:r>
          </w:p>
        </w:tc>
      </w:tr>
      <w:tr w:rsidR="00AA3A5F" w:rsidRPr="00B25A22" w14:paraId="251DB155" w14:textId="77777777" w:rsidTr="00EE31DA">
        <w:trPr>
          <w:trHeight w:val="198"/>
        </w:trPr>
        <w:tc>
          <w:tcPr>
            <w:tcW w:w="2308" w:type="dxa"/>
            <w:tcBorders>
              <w:top w:val="nil"/>
              <w:left w:val="single" w:sz="8" w:space="0" w:color="auto"/>
              <w:bottom w:val="single" w:sz="4" w:space="0" w:color="auto"/>
              <w:right w:val="single" w:sz="4" w:space="0" w:color="auto"/>
            </w:tcBorders>
            <w:shd w:val="clear" w:color="auto" w:fill="auto"/>
            <w:noWrap/>
            <w:vAlign w:val="center"/>
            <w:hideMark/>
          </w:tcPr>
          <w:p w14:paraId="02DE0413" w14:textId="77777777" w:rsidR="00AA3A5F" w:rsidRPr="00B25A22" w:rsidRDefault="00AA3A5F" w:rsidP="00EE31DA">
            <w:pPr>
              <w:jc w:val="left"/>
              <w:rPr>
                <w:rFonts w:cs="Times New Roman"/>
                <w:color w:val="000000"/>
                <w:sz w:val="20"/>
                <w:szCs w:val="20"/>
                <w:lang w:val="cs-CZ"/>
              </w:rPr>
            </w:pPr>
            <w:r w:rsidRPr="00B25A22">
              <w:rPr>
                <w:rFonts w:cs="Times New Roman"/>
                <w:color w:val="000000"/>
                <w:sz w:val="20"/>
                <w:szCs w:val="20"/>
                <w:lang w:val="cs-CZ"/>
              </w:rPr>
              <w:t>Koncentrace prvovýroby</w:t>
            </w:r>
          </w:p>
        </w:tc>
        <w:tc>
          <w:tcPr>
            <w:tcW w:w="885" w:type="dxa"/>
            <w:tcBorders>
              <w:top w:val="nil"/>
              <w:left w:val="nil"/>
              <w:bottom w:val="single" w:sz="4" w:space="0" w:color="auto"/>
              <w:right w:val="single" w:sz="4" w:space="0" w:color="auto"/>
            </w:tcBorders>
            <w:shd w:val="clear" w:color="000000" w:fill="D9D9D9"/>
            <w:noWrap/>
            <w:vAlign w:val="center"/>
            <w:hideMark/>
          </w:tcPr>
          <w:p w14:paraId="1A4EF691"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15</w:t>
            </w:r>
          </w:p>
        </w:tc>
        <w:tc>
          <w:tcPr>
            <w:tcW w:w="885" w:type="dxa"/>
            <w:tcBorders>
              <w:top w:val="nil"/>
              <w:left w:val="nil"/>
              <w:bottom w:val="single" w:sz="4" w:space="0" w:color="auto"/>
              <w:right w:val="single" w:sz="4" w:space="0" w:color="auto"/>
            </w:tcBorders>
            <w:shd w:val="clear" w:color="000000" w:fill="D9D9D9"/>
            <w:noWrap/>
            <w:vAlign w:val="center"/>
            <w:hideMark/>
          </w:tcPr>
          <w:p w14:paraId="6255CBDA"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17</w:t>
            </w:r>
          </w:p>
        </w:tc>
        <w:tc>
          <w:tcPr>
            <w:tcW w:w="913" w:type="dxa"/>
            <w:tcBorders>
              <w:top w:val="nil"/>
              <w:left w:val="nil"/>
              <w:bottom w:val="single" w:sz="4" w:space="0" w:color="auto"/>
              <w:right w:val="single" w:sz="4" w:space="0" w:color="auto"/>
            </w:tcBorders>
            <w:shd w:val="clear" w:color="auto" w:fill="auto"/>
            <w:noWrap/>
            <w:vAlign w:val="center"/>
            <w:hideMark/>
          </w:tcPr>
          <w:p w14:paraId="107A5D5D"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2 320</w:t>
            </w:r>
          </w:p>
        </w:tc>
        <w:tc>
          <w:tcPr>
            <w:tcW w:w="913" w:type="dxa"/>
            <w:tcBorders>
              <w:top w:val="nil"/>
              <w:left w:val="nil"/>
              <w:bottom w:val="single" w:sz="4" w:space="0" w:color="auto"/>
              <w:right w:val="single" w:sz="4" w:space="0" w:color="auto"/>
            </w:tcBorders>
            <w:shd w:val="clear" w:color="auto" w:fill="auto"/>
            <w:noWrap/>
            <w:vAlign w:val="center"/>
            <w:hideMark/>
          </w:tcPr>
          <w:p w14:paraId="415C733B"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1 794</w:t>
            </w:r>
          </w:p>
        </w:tc>
        <w:tc>
          <w:tcPr>
            <w:tcW w:w="828" w:type="dxa"/>
            <w:tcBorders>
              <w:top w:val="nil"/>
              <w:left w:val="nil"/>
              <w:bottom w:val="single" w:sz="4" w:space="0" w:color="auto"/>
              <w:right w:val="single" w:sz="4" w:space="0" w:color="auto"/>
            </w:tcBorders>
            <w:shd w:val="clear" w:color="auto" w:fill="auto"/>
            <w:noWrap/>
            <w:vAlign w:val="center"/>
            <w:hideMark/>
          </w:tcPr>
          <w:p w14:paraId="12BD6BFD"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1473 </w:t>
            </w:r>
          </w:p>
        </w:tc>
        <w:tc>
          <w:tcPr>
            <w:tcW w:w="1054" w:type="dxa"/>
            <w:tcBorders>
              <w:top w:val="nil"/>
              <w:left w:val="nil"/>
              <w:bottom w:val="single" w:sz="4" w:space="0" w:color="auto"/>
              <w:right w:val="single" w:sz="4" w:space="0" w:color="auto"/>
            </w:tcBorders>
            <w:shd w:val="clear" w:color="auto" w:fill="auto"/>
            <w:noWrap/>
            <w:vAlign w:val="center"/>
            <w:hideMark/>
          </w:tcPr>
          <w:p w14:paraId="07E47C51"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2 735,60</w:t>
            </w:r>
          </w:p>
        </w:tc>
        <w:tc>
          <w:tcPr>
            <w:tcW w:w="974" w:type="dxa"/>
            <w:tcBorders>
              <w:top w:val="nil"/>
              <w:left w:val="nil"/>
              <w:bottom w:val="single" w:sz="4" w:space="0" w:color="auto"/>
              <w:right w:val="single" w:sz="4" w:space="0" w:color="auto"/>
            </w:tcBorders>
            <w:shd w:val="clear" w:color="auto" w:fill="auto"/>
            <w:noWrap/>
            <w:vAlign w:val="center"/>
            <w:hideMark/>
          </w:tcPr>
          <w:p w14:paraId="6381D3C4"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3 064,9</w:t>
            </w:r>
          </w:p>
        </w:tc>
        <w:tc>
          <w:tcPr>
            <w:tcW w:w="626" w:type="dxa"/>
            <w:tcBorders>
              <w:top w:val="nil"/>
              <w:left w:val="nil"/>
              <w:bottom w:val="single" w:sz="4" w:space="0" w:color="auto"/>
              <w:right w:val="single" w:sz="8" w:space="0" w:color="auto"/>
            </w:tcBorders>
            <w:shd w:val="clear" w:color="auto" w:fill="auto"/>
            <w:noWrap/>
            <w:vAlign w:val="center"/>
            <w:hideMark/>
          </w:tcPr>
          <w:p w14:paraId="06A5E3B8"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3034</w:t>
            </w:r>
          </w:p>
        </w:tc>
      </w:tr>
      <w:tr w:rsidR="00AA3A5F" w:rsidRPr="00B25A22" w14:paraId="2232D369" w14:textId="77777777" w:rsidTr="00EE31DA">
        <w:trPr>
          <w:trHeight w:val="527"/>
        </w:trPr>
        <w:tc>
          <w:tcPr>
            <w:tcW w:w="2308" w:type="dxa"/>
            <w:tcBorders>
              <w:top w:val="nil"/>
              <w:left w:val="single" w:sz="8" w:space="0" w:color="auto"/>
              <w:bottom w:val="single" w:sz="4" w:space="0" w:color="auto"/>
              <w:right w:val="single" w:sz="4" w:space="0" w:color="auto"/>
            </w:tcBorders>
            <w:shd w:val="clear" w:color="auto" w:fill="auto"/>
            <w:noWrap/>
            <w:vAlign w:val="center"/>
            <w:hideMark/>
          </w:tcPr>
          <w:p w14:paraId="7F28D926" w14:textId="5F7B32E8" w:rsidR="00AA3A5F" w:rsidRPr="00B25A22" w:rsidRDefault="00AA3A5F" w:rsidP="00EE31DA">
            <w:pPr>
              <w:jc w:val="left"/>
              <w:rPr>
                <w:rFonts w:cs="Times New Roman"/>
                <w:color w:val="000000"/>
                <w:sz w:val="20"/>
                <w:szCs w:val="20"/>
                <w:lang w:val="cs-CZ"/>
              </w:rPr>
            </w:pPr>
            <w:r w:rsidRPr="00B25A22">
              <w:rPr>
                <w:rFonts w:cs="Times New Roman"/>
                <w:color w:val="000000"/>
                <w:sz w:val="20"/>
                <w:szCs w:val="20"/>
                <w:lang w:val="cs-CZ"/>
              </w:rPr>
              <w:t>Koncentrace</w:t>
            </w:r>
            <w:r w:rsidR="00EE31DA" w:rsidRPr="00B25A22">
              <w:rPr>
                <w:rFonts w:cs="Times New Roman"/>
                <w:color w:val="000000"/>
                <w:sz w:val="20"/>
                <w:szCs w:val="20"/>
                <w:lang w:val="cs-CZ"/>
              </w:rPr>
              <w:t xml:space="preserve"> </w:t>
            </w:r>
            <w:r w:rsidRPr="00B25A22">
              <w:rPr>
                <w:rFonts w:cs="Times New Roman"/>
                <w:color w:val="000000"/>
                <w:sz w:val="20"/>
                <w:szCs w:val="20"/>
                <w:lang w:val="cs-CZ"/>
              </w:rPr>
              <w:t>prodeje mléka</w:t>
            </w:r>
          </w:p>
        </w:tc>
        <w:tc>
          <w:tcPr>
            <w:tcW w:w="885" w:type="dxa"/>
            <w:tcBorders>
              <w:top w:val="nil"/>
              <w:left w:val="nil"/>
              <w:bottom w:val="single" w:sz="4" w:space="0" w:color="auto"/>
              <w:right w:val="single" w:sz="4" w:space="0" w:color="auto"/>
            </w:tcBorders>
            <w:shd w:val="clear" w:color="000000" w:fill="D9D9D9"/>
            <w:noWrap/>
            <w:vAlign w:val="center"/>
            <w:hideMark/>
          </w:tcPr>
          <w:p w14:paraId="5D1F8DC0"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469</w:t>
            </w:r>
          </w:p>
        </w:tc>
        <w:tc>
          <w:tcPr>
            <w:tcW w:w="885" w:type="dxa"/>
            <w:tcBorders>
              <w:top w:val="nil"/>
              <w:left w:val="nil"/>
              <w:bottom w:val="single" w:sz="4" w:space="0" w:color="auto"/>
              <w:right w:val="single" w:sz="4" w:space="0" w:color="auto"/>
            </w:tcBorders>
            <w:shd w:val="clear" w:color="000000" w:fill="D9D9D9"/>
            <w:noWrap/>
            <w:vAlign w:val="center"/>
            <w:hideMark/>
          </w:tcPr>
          <w:p w14:paraId="1E8DDDD6"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517</w:t>
            </w:r>
          </w:p>
        </w:tc>
        <w:tc>
          <w:tcPr>
            <w:tcW w:w="913" w:type="dxa"/>
            <w:tcBorders>
              <w:top w:val="nil"/>
              <w:left w:val="nil"/>
              <w:bottom w:val="single" w:sz="4" w:space="0" w:color="auto"/>
              <w:right w:val="single" w:sz="4" w:space="0" w:color="auto"/>
            </w:tcBorders>
            <w:shd w:val="clear" w:color="auto" w:fill="auto"/>
            <w:noWrap/>
            <w:vAlign w:val="center"/>
            <w:hideMark/>
          </w:tcPr>
          <w:p w14:paraId="43842179"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77</w:t>
            </w:r>
          </w:p>
        </w:tc>
        <w:tc>
          <w:tcPr>
            <w:tcW w:w="913" w:type="dxa"/>
            <w:tcBorders>
              <w:top w:val="nil"/>
              <w:left w:val="nil"/>
              <w:bottom w:val="single" w:sz="4" w:space="0" w:color="auto"/>
              <w:right w:val="single" w:sz="4" w:space="0" w:color="auto"/>
            </w:tcBorders>
            <w:shd w:val="clear" w:color="auto" w:fill="auto"/>
            <w:noWrap/>
            <w:vAlign w:val="center"/>
            <w:hideMark/>
          </w:tcPr>
          <w:p w14:paraId="3F050AC7"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70 </w:t>
            </w:r>
          </w:p>
        </w:tc>
        <w:tc>
          <w:tcPr>
            <w:tcW w:w="828" w:type="dxa"/>
            <w:tcBorders>
              <w:top w:val="nil"/>
              <w:left w:val="nil"/>
              <w:bottom w:val="single" w:sz="4" w:space="0" w:color="auto"/>
              <w:right w:val="single" w:sz="4" w:space="0" w:color="auto"/>
            </w:tcBorders>
            <w:shd w:val="clear" w:color="auto" w:fill="auto"/>
            <w:noWrap/>
            <w:vAlign w:val="center"/>
            <w:hideMark/>
          </w:tcPr>
          <w:p w14:paraId="3F7B5CBE"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 </w:t>
            </w:r>
          </w:p>
        </w:tc>
        <w:tc>
          <w:tcPr>
            <w:tcW w:w="1054" w:type="dxa"/>
            <w:tcBorders>
              <w:top w:val="nil"/>
              <w:left w:val="nil"/>
              <w:bottom w:val="single" w:sz="4" w:space="0" w:color="auto"/>
              <w:right w:val="single" w:sz="4" w:space="0" w:color="auto"/>
            </w:tcBorders>
            <w:shd w:val="clear" w:color="auto" w:fill="auto"/>
            <w:noWrap/>
            <w:vAlign w:val="center"/>
            <w:hideMark/>
          </w:tcPr>
          <w:p w14:paraId="7AA1C6CD"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2 623,7 </w:t>
            </w:r>
          </w:p>
        </w:tc>
        <w:tc>
          <w:tcPr>
            <w:tcW w:w="974" w:type="dxa"/>
            <w:tcBorders>
              <w:top w:val="nil"/>
              <w:left w:val="nil"/>
              <w:bottom w:val="single" w:sz="4" w:space="0" w:color="auto"/>
              <w:right w:val="single" w:sz="4" w:space="0" w:color="auto"/>
            </w:tcBorders>
            <w:shd w:val="clear" w:color="auto" w:fill="auto"/>
            <w:noWrap/>
            <w:vAlign w:val="center"/>
            <w:hideMark/>
          </w:tcPr>
          <w:p w14:paraId="2B54A840"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2 963,1 </w:t>
            </w:r>
          </w:p>
        </w:tc>
        <w:tc>
          <w:tcPr>
            <w:tcW w:w="626" w:type="dxa"/>
            <w:tcBorders>
              <w:top w:val="nil"/>
              <w:left w:val="nil"/>
              <w:bottom w:val="single" w:sz="4" w:space="0" w:color="auto"/>
              <w:right w:val="single" w:sz="8" w:space="0" w:color="auto"/>
            </w:tcBorders>
            <w:shd w:val="clear" w:color="auto" w:fill="auto"/>
            <w:noWrap/>
            <w:vAlign w:val="bottom"/>
            <w:hideMark/>
          </w:tcPr>
          <w:p w14:paraId="69C769CD"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 </w:t>
            </w:r>
          </w:p>
        </w:tc>
      </w:tr>
      <w:tr w:rsidR="00AA3A5F" w:rsidRPr="00B25A22" w14:paraId="763D8C1B" w14:textId="77777777" w:rsidTr="007A68D5">
        <w:trPr>
          <w:trHeight w:val="315"/>
        </w:trPr>
        <w:tc>
          <w:tcPr>
            <w:tcW w:w="2308" w:type="dxa"/>
            <w:tcBorders>
              <w:top w:val="nil"/>
              <w:left w:val="single" w:sz="8" w:space="0" w:color="auto"/>
              <w:bottom w:val="single" w:sz="8" w:space="0" w:color="auto"/>
              <w:right w:val="single" w:sz="4" w:space="0" w:color="auto"/>
            </w:tcBorders>
            <w:shd w:val="clear" w:color="auto" w:fill="auto"/>
            <w:noWrap/>
            <w:vAlign w:val="center"/>
            <w:hideMark/>
          </w:tcPr>
          <w:p w14:paraId="12E5393D" w14:textId="77777777" w:rsidR="00AA3A5F" w:rsidRPr="00B25A22" w:rsidRDefault="00AA3A5F" w:rsidP="00EE31DA">
            <w:pPr>
              <w:jc w:val="left"/>
              <w:rPr>
                <w:rFonts w:cs="Times New Roman"/>
                <w:color w:val="000000"/>
                <w:sz w:val="20"/>
                <w:szCs w:val="20"/>
                <w:lang w:val="cs-CZ"/>
              </w:rPr>
            </w:pPr>
            <w:r w:rsidRPr="00B25A22">
              <w:rPr>
                <w:rFonts w:cs="Times New Roman"/>
                <w:color w:val="000000"/>
                <w:sz w:val="20"/>
                <w:szCs w:val="20"/>
                <w:lang w:val="cs-CZ"/>
              </w:rPr>
              <w:t>Koncentrace zpracování mléka</w:t>
            </w:r>
          </w:p>
        </w:tc>
        <w:tc>
          <w:tcPr>
            <w:tcW w:w="885" w:type="dxa"/>
            <w:tcBorders>
              <w:top w:val="nil"/>
              <w:left w:val="nil"/>
              <w:bottom w:val="single" w:sz="8" w:space="0" w:color="auto"/>
              <w:right w:val="single" w:sz="4" w:space="0" w:color="auto"/>
            </w:tcBorders>
            <w:shd w:val="clear" w:color="000000" w:fill="D9D9D9"/>
            <w:noWrap/>
            <w:vAlign w:val="center"/>
            <w:hideMark/>
          </w:tcPr>
          <w:p w14:paraId="7ED1A7AE"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624</w:t>
            </w:r>
          </w:p>
        </w:tc>
        <w:tc>
          <w:tcPr>
            <w:tcW w:w="885" w:type="dxa"/>
            <w:tcBorders>
              <w:top w:val="nil"/>
              <w:left w:val="nil"/>
              <w:bottom w:val="single" w:sz="8" w:space="0" w:color="auto"/>
              <w:right w:val="single" w:sz="4" w:space="0" w:color="auto"/>
            </w:tcBorders>
            <w:shd w:val="clear" w:color="000000" w:fill="D9D9D9"/>
            <w:noWrap/>
            <w:vAlign w:val="center"/>
            <w:hideMark/>
          </w:tcPr>
          <w:p w14:paraId="4C1ACC33"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613</w:t>
            </w:r>
          </w:p>
        </w:tc>
        <w:tc>
          <w:tcPr>
            <w:tcW w:w="913" w:type="dxa"/>
            <w:tcBorders>
              <w:top w:val="nil"/>
              <w:left w:val="nil"/>
              <w:bottom w:val="single" w:sz="8" w:space="0" w:color="auto"/>
              <w:right w:val="single" w:sz="4" w:space="0" w:color="auto"/>
            </w:tcBorders>
            <w:shd w:val="clear" w:color="auto" w:fill="auto"/>
            <w:noWrap/>
            <w:vAlign w:val="center"/>
            <w:hideMark/>
          </w:tcPr>
          <w:p w14:paraId="3B18A276"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 38</w:t>
            </w:r>
          </w:p>
        </w:tc>
        <w:tc>
          <w:tcPr>
            <w:tcW w:w="913" w:type="dxa"/>
            <w:tcBorders>
              <w:top w:val="nil"/>
              <w:left w:val="nil"/>
              <w:bottom w:val="single" w:sz="8" w:space="0" w:color="auto"/>
              <w:right w:val="single" w:sz="4" w:space="0" w:color="auto"/>
            </w:tcBorders>
            <w:shd w:val="clear" w:color="auto" w:fill="auto"/>
            <w:noWrap/>
            <w:vAlign w:val="center"/>
            <w:hideMark/>
          </w:tcPr>
          <w:p w14:paraId="3B1D4BDB"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42 </w:t>
            </w:r>
          </w:p>
        </w:tc>
        <w:tc>
          <w:tcPr>
            <w:tcW w:w="828" w:type="dxa"/>
            <w:tcBorders>
              <w:top w:val="nil"/>
              <w:left w:val="nil"/>
              <w:bottom w:val="single" w:sz="8" w:space="0" w:color="auto"/>
              <w:right w:val="single" w:sz="4" w:space="0" w:color="auto"/>
            </w:tcBorders>
            <w:shd w:val="clear" w:color="auto" w:fill="auto"/>
            <w:noWrap/>
            <w:vAlign w:val="center"/>
            <w:hideMark/>
          </w:tcPr>
          <w:p w14:paraId="6DF3D2DE"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 </w:t>
            </w:r>
          </w:p>
        </w:tc>
        <w:tc>
          <w:tcPr>
            <w:tcW w:w="1054" w:type="dxa"/>
            <w:tcBorders>
              <w:top w:val="nil"/>
              <w:left w:val="nil"/>
              <w:bottom w:val="single" w:sz="8" w:space="0" w:color="auto"/>
              <w:right w:val="single" w:sz="4" w:space="0" w:color="auto"/>
            </w:tcBorders>
            <w:shd w:val="clear" w:color="auto" w:fill="auto"/>
            <w:noWrap/>
            <w:vAlign w:val="center"/>
            <w:hideMark/>
          </w:tcPr>
          <w:p w14:paraId="3DED8556"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2 366,2 </w:t>
            </w:r>
          </w:p>
        </w:tc>
        <w:tc>
          <w:tcPr>
            <w:tcW w:w="974" w:type="dxa"/>
            <w:tcBorders>
              <w:top w:val="nil"/>
              <w:left w:val="nil"/>
              <w:bottom w:val="single" w:sz="8" w:space="0" w:color="auto"/>
              <w:right w:val="single" w:sz="4" w:space="0" w:color="auto"/>
            </w:tcBorders>
            <w:shd w:val="clear" w:color="auto" w:fill="auto"/>
            <w:noWrap/>
            <w:vAlign w:val="center"/>
            <w:hideMark/>
          </w:tcPr>
          <w:p w14:paraId="5C21034A"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2 525,0 </w:t>
            </w:r>
          </w:p>
        </w:tc>
        <w:tc>
          <w:tcPr>
            <w:tcW w:w="626" w:type="dxa"/>
            <w:tcBorders>
              <w:top w:val="nil"/>
              <w:left w:val="nil"/>
              <w:bottom w:val="single" w:sz="8" w:space="0" w:color="auto"/>
              <w:right w:val="single" w:sz="8" w:space="0" w:color="auto"/>
            </w:tcBorders>
            <w:shd w:val="clear" w:color="auto" w:fill="auto"/>
            <w:noWrap/>
            <w:vAlign w:val="bottom"/>
            <w:hideMark/>
          </w:tcPr>
          <w:p w14:paraId="79881FEC"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 </w:t>
            </w:r>
          </w:p>
        </w:tc>
      </w:tr>
    </w:tbl>
    <w:p w14:paraId="3234CCE3" w14:textId="77777777" w:rsidR="00AA3A5F" w:rsidRPr="00B25A22" w:rsidRDefault="00AA3A5F" w:rsidP="00EE31DA">
      <w:pPr>
        <w:pStyle w:val="UZEIZdroj"/>
      </w:pPr>
      <w:r w:rsidRPr="00B25A22">
        <w:t>Pramen: vlastní výpočty na základě dat SZIF</w:t>
      </w:r>
    </w:p>
    <w:p w14:paraId="2EA4FBA7" w14:textId="77777777" w:rsidR="00AA3A5F" w:rsidRPr="00B25A22" w:rsidRDefault="00AA3A5F" w:rsidP="00321EBF">
      <w:pPr>
        <w:pStyle w:val="UZEINormaln"/>
        <w:rPr>
          <w:rFonts w:cs="Times New Roman"/>
        </w:rPr>
      </w:pPr>
      <w:r w:rsidRPr="00B25A22">
        <w:rPr>
          <w:rStyle w:val="UZEINormalnChar"/>
          <w:rFonts w:cs="Times New Roman"/>
        </w:rPr>
        <w:t xml:space="preserve">V organizaci prodeje syrového mléka bylo v roce 2017 ze 75 registrovaných prvních kupujících celkem 29 odbytových družstev. V roce 2019 bylo registrováno 69 prvních kupujících, z toho 27 odbytových družstev Část odbytových družstev je současně uznanými organizacemi producentů. V souladu s nařízením EP a Rady (EU) č. 261/2012 ze dne 14. března 2012 působilo v roce 2017 v ČR 19 uznaných organizací producentů mléka a v roce 2019 se jejich počet nezměnil.  Prostřednictvím uznaných </w:t>
      </w:r>
      <w:r w:rsidRPr="00B25A22">
        <w:rPr>
          <w:rFonts w:cs="Times New Roman"/>
        </w:rPr>
        <w:t xml:space="preserve">organizací producentů bylo v roce 2017, resp. v roce 2019 prodáno 64 % resp. 72,2 %  množství dodaného k dalšímu zpracování. Největší </w:t>
      </w:r>
      <w:r w:rsidRPr="00B25A22">
        <w:rPr>
          <w:rFonts w:cs="Times New Roman"/>
        </w:rPr>
        <w:lastRenderedPageBreak/>
        <w:t xml:space="preserve">objem prodeje v roce 2017, </w:t>
      </w:r>
      <w:proofErr w:type="spellStart"/>
      <w:r w:rsidRPr="00B25A22">
        <w:rPr>
          <w:rFonts w:cs="Times New Roman"/>
        </w:rPr>
        <w:t>rep</w:t>
      </w:r>
      <w:proofErr w:type="spellEnd"/>
      <w:r w:rsidRPr="00B25A22">
        <w:rPr>
          <w:rFonts w:cs="Times New Roman"/>
        </w:rPr>
        <w:t>. 2019 zprostředkovala tři družstva</w:t>
      </w:r>
      <w:r w:rsidRPr="00B25A22">
        <w:rPr>
          <w:rStyle w:val="Znakapoznpodarou"/>
          <w:sz w:val="22"/>
        </w:rPr>
        <w:footnoteReference w:id="13"/>
      </w:r>
      <w:r w:rsidRPr="00B25A22">
        <w:rPr>
          <w:rFonts w:cs="Times New Roman"/>
        </w:rPr>
        <w:t xml:space="preserve"> v celkové výši 37,1 % objemu ke zpracování. Prodej zbylého množství (26,8 % objemu, resp.  31,6 </w:t>
      </w:r>
      <w:proofErr w:type="gramStart"/>
      <w:r w:rsidRPr="00B25A22">
        <w:rPr>
          <w:rFonts w:cs="Times New Roman"/>
        </w:rPr>
        <w:t>% )</w:t>
      </w:r>
      <w:proofErr w:type="gramEnd"/>
      <w:r w:rsidRPr="00B25A22">
        <w:rPr>
          <w:rFonts w:cs="Times New Roman"/>
        </w:rPr>
        <w:t xml:space="preserve"> byl zprostředkován 26, resp. 24  odbytovými družstvy (MZe, 2018, b; MZe, 2020). Z dat SZIF je zřejmé, že jejich podíly se v roce 2016 pohybovaly okolo 6,6 % u čtvrtého největšího družstva a od 2,7 % až k podílům blížícím se nule u ostatních. Vliv malých odbytových organizací na vyrovnání tržní síly na trhu s mlékem je velmi diskutabilní.</w:t>
      </w:r>
    </w:p>
    <w:p w14:paraId="0A5711AF" w14:textId="77777777" w:rsidR="00AA3A5F" w:rsidRPr="00B25A22" w:rsidRDefault="00AA3A5F" w:rsidP="00321EBF">
      <w:pPr>
        <w:pStyle w:val="UZEINormaln"/>
        <w:rPr>
          <w:rFonts w:cs="Times New Roman"/>
        </w:rPr>
      </w:pPr>
      <w:r w:rsidRPr="00B25A22">
        <w:rPr>
          <w:rFonts w:cs="Times New Roman"/>
        </w:rPr>
        <w:t xml:space="preserve">Společná organizace trhu však umožňuje výrazně vyšší koncentraci prodeje, než reálně fungovala na trhu v roce 2017 a v předchozích letech, ze kdy jsou dostupná data, a to prodej až 33 % národní výroby jedním sdružením výrobců. Byl proveden teoretický výpočet, který simuloval navýšení prodávaného množství největší uznané organizace výrobců na maximální povolené množství mléka (33 %) na úkor neorganizovaných zemědělských výrobců. Taková organizace prodeje by zvýšila HHI na hodnotu 1 585, což je střední stupeň koncentrace. Vzhledem k tomu, že HHI zpracovatelů má hodnotu </w:t>
      </w:r>
      <w:r w:rsidRPr="00B25A22">
        <w:rPr>
          <w:rFonts w:cs="Times New Roman"/>
          <w:b/>
        </w:rPr>
        <w:t>613</w:t>
      </w:r>
      <w:r w:rsidRPr="00B25A22">
        <w:rPr>
          <w:rFonts w:cs="Times New Roman"/>
        </w:rPr>
        <w:t xml:space="preserve">, tedy v kategorii nízké koncentrace, </w:t>
      </w:r>
      <w:r w:rsidRPr="00B25A22">
        <w:rPr>
          <w:rFonts w:cs="Times New Roman"/>
          <w:b/>
        </w:rPr>
        <w:t>simulovaný prodej mléka organizacemi producentů by s hodnotou HHI 1 585 byl již značně silnou protiváhou zpracovatelů</w:t>
      </w:r>
      <w:r w:rsidRPr="00B25A22">
        <w:rPr>
          <w:rStyle w:val="Znakapoznpodarou"/>
          <w:b/>
        </w:rPr>
        <w:footnoteReference w:id="14"/>
      </w:r>
      <w:r w:rsidRPr="00B25A22">
        <w:rPr>
          <w:rFonts w:cs="Times New Roman"/>
          <w:b/>
        </w:rPr>
        <w:t>.</w:t>
      </w:r>
      <w:r w:rsidRPr="00B25A22">
        <w:rPr>
          <w:rFonts w:cs="Times New Roman"/>
        </w:rPr>
        <w:t xml:space="preserve"> </w:t>
      </w:r>
    </w:p>
    <w:p w14:paraId="494E1C26" w14:textId="77777777" w:rsidR="00AA3A5F" w:rsidRPr="00B25A22" w:rsidRDefault="00AA3A5F" w:rsidP="00321EBF">
      <w:pPr>
        <w:pStyle w:val="UZEINormaln"/>
        <w:rPr>
          <w:rFonts w:cs="Times New Roman"/>
          <w:b/>
          <w:bCs/>
        </w:rPr>
      </w:pPr>
      <w:r w:rsidRPr="00B25A22">
        <w:rPr>
          <w:rFonts w:cs="Times New Roman"/>
          <w:b/>
          <w:bCs/>
        </w:rPr>
        <w:t>Zelenina</w:t>
      </w:r>
    </w:p>
    <w:p w14:paraId="549AB2C6" w14:textId="77777777" w:rsidR="00AA3A5F" w:rsidRPr="00B25A22" w:rsidRDefault="00AA3A5F" w:rsidP="00321EBF">
      <w:pPr>
        <w:pStyle w:val="UZEINormaln"/>
        <w:rPr>
          <w:rFonts w:cs="Times New Roman"/>
        </w:rPr>
      </w:pPr>
      <w:r w:rsidRPr="00B25A22">
        <w:rPr>
          <w:rFonts w:cs="Times New Roman"/>
        </w:rPr>
        <w:t>Struktura zelinářských podniků se během let mění. V posledních letech dochází ke koncentraci produkce zeleniny u větších výrobců a k ukončení pěstování menších producentů, kteří nejsou napojeni na mezinárodní maloobchodní řetězce. Větší pěstitelé jsou většinou specializováni na produkci určitých druhů zeleniny. Mají nakoupené speciální vybavení a vybudovány modernější skladovací prostory. Menší zelináři se specializují spíše na prodej ze dvora a farmářské trhy. V České republice také hraje velkou roli samozásobení. Podle odhadů ZUČM bylo v roce 2019 cca 13,0 % z celkové produkce vypěstované zeleniny u nás určeno pro vlastní spotřebu. K 31. 1. 2019 bylo registrováno celkem 22 uznaných organizací producentů pro odvětví ovoce a zeleniny. Podíl produkce obchodované organizacemi producentů dosahoval v roce 2016 a 2017 téměř 40 %, v roce 2018 dosáhl 43,6 %. Se započtením produkce samozásobitelů dosahoval v roce 2018 podíl produkce organizací producentů zhruba 39,8 %.</w:t>
      </w:r>
    </w:p>
    <w:p w14:paraId="4DC92F05" w14:textId="1DAEC0F0" w:rsidR="00AA3A5F" w:rsidRPr="00B25A22" w:rsidRDefault="00AA3A5F" w:rsidP="00321EBF">
      <w:pPr>
        <w:pStyle w:val="UZEITaB"/>
        <w:rPr>
          <w:rFonts w:cs="Times New Roman"/>
        </w:rPr>
      </w:pPr>
      <w:bookmarkStart w:id="35" w:name="_Toc81743443"/>
      <w:r w:rsidRPr="00B25A22">
        <w:rPr>
          <w:rFonts w:cs="Times New Roman"/>
        </w:rPr>
        <w:t>Vývoj počtu pěstitelů tržní zeleniny v ČR</w:t>
      </w:r>
      <w:bookmarkEnd w:id="35"/>
    </w:p>
    <w:tbl>
      <w:tblPr>
        <w:tblW w:w="5000" w:type="pct"/>
        <w:tblCellMar>
          <w:left w:w="70" w:type="dxa"/>
          <w:right w:w="70" w:type="dxa"/>
        </w:tblCellMar>
        <w:tblLook w:val="04A0" w:firstRow="1" w:lastRow="0" w:firstColumn="1" w:lastColumn="0" w:noHBand="0" w:noVBand="1"/>
      </w:tblPr>
      <w:tblGrid>
        <w:gridCol w:w="1366"/>
        <w:gridCol w:w="733"/>
        <w:gridCol w:w="668"/>
        <w:gridCol w:w="781"/>
        <w:gridCol w:w="781"/>
        <w:gridCol w:w="779"/>
        <w:gridCol w:w="665"/>
        <w:gridCol w:w="665"/>
        <w:gridCol w:w="655"/>
        <w:gridCol w:w="651"/>
        <w:gridCol w:w="651"/>
        <w:gridCol w:w="647"/>
      </w:tblGrid>
      <w:tr w:rsidR="00AA3A5F" w:rsidRPr="00B25A22" w14:paraId="02D0F06D" w14:textId="77777777" w:rsidTr="007A68D5">
        <w:trPr>
          <w:trHeight w:val="150"/>
        </w:trPr>
        <w:tc>
          <w:tcPr>
            <w:tcW w:w="755" w:type="pct"/>
            <w:vMerge w:val="restart"/>
            <w:tcBorders>
              <w:top w:val="single" w:sz="12" w:space="0" w:color="auto"/>
              <w:left w:val="single" w:sz="12" w:space="0" w:color="auto"/>
              <w:bottom w:val="single" w:sz="8" w:space="0" w:color="000000" w:themeColor="text1"/>
              <w:right w:val="single" w:sz="8" w:space="0" w:color="auto"/>
            </w:tcBorders>
            <w:shd w:val="clear" w:color="auto" w:fill="auto"/>
            <w:noWrap/>
            <w:vAlign w:val="bottom"/>
            <w:hideMark/>
          </w:tcPr>
          <w:p w14:paraId="3A1DAB88"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ha</w:t>
            </w:r>
          </w:p>
        </w:tc>
        <w:tc>
          <w:tcPr>
            <w:tcW w:w="4245" w:type="pct"/>
            <w:gridSpan w:val="11"/>
            <w:tcBorders>
              <w:top w:val="single" w:sz="12" w:space="0" w:color="auto"/>
              <w:left w:val="single" w:sz="8" w:space="0" w:color="auto"/>
              <w:bottom w:val="nil"/>
              <w:right w:val="single" w:sz="12" w:space="0" w:color="auto"/>
            </w:tcBorders>
            <w:shd w:val="clear" w:color="auto" w:fill="auto"/>
            <w:noWrap/>
            <w:vAlign w:val="bottom"/>
            <w:hideMark/>
          </w:tcPr>
          <w:p w14:paraId="1F4A5CA5" w14:textId="77777777" w:rsidR="00AA3A5F" w:rsidRPr="00B25A22" w:rsidRDefault="00AA3A5F" w:rsidP="007A68D5">
            <w:pPr>
              <w:spacing w:line="240" w:lineRule="atLeast"/>
              <w:jc w:val="center"/>
              <w:rPr>
                <w:rFonts w:cs="Times New Roman"/>
                <w:b/>
                <w:bCs/>
                <w:sz w:val="20"/>
                <w:szCs w:val="20"/>
                <w:lang w:val="cs-CZ"/>
              </w:rPr>
            </w:pPr>
            <w:r w:rsidRPr="00B25A22">
              <w:rPr>
                <w:rFonts w:cs="Times New Roman"/>
                <w:b/>
                <w:bCs/>
                <w:sz w:val="20"/>
                <w:szCs w:val="20"/>
                <w:lang w:val="cs-CZ"/>
              </w:rPr>
              <w:t>Počet pěstitelů</w:t>
            </w:r>
          </w:p>
        </w:tc>
      </w:tr>
      <w:tr w:rsidR="00AA3A5F" w:rsidRPr="00B25A22" w14:paraId="4E9253E6" w14:textId="77777777" w:rsidTr="007A68D5">
        <w:trPr>
          <w:trHeight w:val="267"/>
        </w:trPr>
        <w:tc>
          <w:tcPr>
            <w:tcW w:w="755" w:type="pct"/>
            <w:vMerge/>
            <w:vAlign w:val="center"/>
            <w:hideMark/>
          </w:tcPr>
          <w:p w14:paraId="24A427D8" w14:textId="77777777" w:rsidR="00AA3A5F" w:rsidRPr="00B25A22" w:rsidRDefault="00AA3A5F" w:rsidP="007A68D5">
            <w:pPr>
              <w:spacing w:line="240" w:lineRule="atLeast"/>
              <w:jc w:val="left"/>
              <w:rPr>
                <w:rFonts w:cs="Times New Roman"/>
                <w:b/>
                <w:bCs/>
                <w:sz w:val="20"/>
                <w:szCs w:val="20"/>
                <w:lang w:val="cs-CZ"/>
              </w:rPr>
            </w:pPr>
          </w:p>
        </w:tc>
        <w:tc>
          <w:tcPr>
            <w:tcW w:w="405" w:type="pct"/>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48993D52"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2009</w:t>
            </w:r>
          </w:p>
        </w:tc>
        <w:tc>
          <w:tcPr>
            <w:tcW w:w="369" w:type="pct"/>
            <w:tcBorders>
              <w:top w:val="single" w:sz="4" w:space="0" w:color="auto"/>
              <w:left w:val="nil"/>
              <w:bottom w:val="single" w:sz="8" w:space="0" w:color="auto"/>
              <w:right w:val="single" w:sz="4" w:space="0" w:color="auto"/>
            </w:tcBorders>
            <w:shd w:val="clear" w:color="auto" w:fill="auto"/>
            <w:noWrap/>
            <w:vAlign w:val="bottom"/>
            <w:hideMark/>
          </w:tcPr>
          <w:p w14:paraId="39D257F1"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2010</w:t>
            </w:r>
          </w:p>
        </w:tc>
        <w:tc>
          <w:tcPr>
            <w:tcW w:w="432" w:type="pct"/>
            <w:tcBorders>
              <w:top w:val="single" w:sz="4" w:space="0" w:color="auto"/>
              <w:left w:val="nil"/>
              <w:bottom w:val="single" w:sz="8" w:space="0" w:color="auto"/>
              <w:right w:val="single" w:sz="4" w:space="0" w:color="auto"/>
            </w:tcBorders>
            <w:shd w:val="clear" w:color="auto" w:fill="auto"/>
            <w:noWrap/>
            <w:vAlign w:val="bottom"/>
            <w:hideMark/>
          </w:tcPr>
          <w:p w14:paraId="55849AA2"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2011</w:t>
            </w:r>
          </w:p>
        </w:tc>
        <w:tc>
          <w:tcPr>
            <w:tcW w:w="432" w:type="pct"/>
            <w:tcBorders>
              <w:top w:val="single" w:sz="4" w:space="0" w:color="auto"/>
              <w:left w:val="nil"/>
              <w:bottom w:val="single" w:sz="8" w:space="0" w:color="auto"/>
              <w:right w:val="single" w:sz="4" w:space="0" w:color="auto"/>
            </w:tcBorders>
            <w:shd w:val="clear" w:color="auto" w:fill="auto"/>
            <w:noWrap/>
            <w:vAlign w:val="bottom"/>
            <w:hideMark/>
          </w:tcPr>
          <w:p w14:paraId="5B2D09C6"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2012</w:t>
            </w:r>
          </w:p>
        </w:tc>
        <w:tc>
          <w:tcPr>
            <w:tcW w:w="431" w:type="pct"/>
            <w:tcBorders>
              <w:top w:val="single" w:sz="4" w:space="0" w:color="auto"/>
              <w:left w:val="nil"/>
              <w:bottom w:val="single" w:sz="8" w:space="0" w:color="auto"/>
              <w:right w:val="single" w:sz="4" w:space="0" w:color="auto"/>
            </w:tcBorders>
            <w:shd w:val="clear" w:color="auto" w:fill="auto"/>
            <w:noWrap/>
            <w:vAlign w:val="bottom"/>
            <w:hideMark/>
          </w:tcPr>
          <w:p w14:paraId="69DCD15C"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2013</w:t>
            </w:r>
          </w:p>
        </w:tc>
        <w:tc>
          <w:tcPr>
            <w:tcW w:w="368" w:type="pct"/>
            <w:tcBorders>
              <w:top w:val="single" w:sz="4" w:space="0" w:color="auto"/>
              <w:left w:val="nil"/>
              <w:bottom w:val="single" w:sz="8" w:space="0" w:color="auto"/>
              <w:right w:val="single" w:sz="4" w:space="0" w:color="auto"/>
            </w:tcBorders>
            <w:shd w:val="clear" w:color="auto" w:fill="auto"/>
            <w:noWrap/>
            <w:vAlign w:val="bottom"/>
            <w:hideMark/>
          </w:tcPr>
          <w:p w14:paraId="5758ADDB"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2014</w:t>
            </w:r>
          </w:p>
        </w:tc>
        <w:tc>
          <w:tcPr>
            <w:tcW w:w="368" w:type="pct"/>
            <w:tcBorders>
              <w:top w:val="single" w:sz="4" w:space="0" w:color="auto"/>
              <w:left w:val="nil"/>
              <w:bottom w:val="single" w:sz="8" w:space="0" w:color="auto"/>
              <w:right w:val="single" w:sz="4" w:space="0" w:color="auto"/>
            </w:tcBorders>
            <w:shd w:val="clear" w:color="auto" w:fill="auto"/>
            <w:noWrap/>
            <w:vAlign w:val="bottom"/>
            <w:hideMark/>
          </w:tcPr>
          <w:p w14:paraId="001298EF"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2015</w:t>
            </w:r>
          </w:p>
        </w:tc>
        <w:tc>
          <w:tcPr>
            <w:tcW w:w="362" w:type="pct"/>
            <w:tcBorders>
              <w:top w:val="single" w:sz="4" w:space="0" w:color="auto"/>
              <w:left w:val="nil"/>
              <w:bottom w:val="single" w:sz="8" w:space="0" w:color="auto"/>
              <w:right w:val="single" w:sz="4" w:space="0" w:color="auto"/>
            </w:tcBorders>
            <w:shd w:val="clear" w:color="auto" w:fill="auto"/>
            <w:noWrap/>
            <w:vAlign w:val="bottom"/>
            <w:hideMark/>
          </w:tcPr>
          <w:p w14:paraId="6481AB4A"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2016</w:t>
            </w:r>
          </w:p>
        </w:tc>
        <w:tc>
          <w:tcPr>
            <w:tcW w:w="360" w:type="pct"/>
            <w:tcBorders>
              <w:top w:val="single" w:sz="4" w:space="0" w:color="auto"/>
              <w:left w:val="single" w:sz="4" w:space="0" w:color="auto"/>
              <w:bottom w:val="single" w:sz="8" w:space="0" w:color="auto"/>
              <w:right w:val="single" w:sz="4" w:space="0" w:color="auto"/>
            </w:tcBorders>
          </w:tcPr>
          <w:p w14:paraId="5D952500"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2017</w:t>
            </w:r>
          </w:p>
        </w:tc>
        <w:tc>
          <w:tcPr>
            <w:tcW w:w="360" w:type="pct"/>
            <w:tcBorders>
              <w:top w:val="single" w:sz="4" w:space="0" w:color="auto"/>
              <w:left w:val="single" w:sz="4" w:space="0" w:color="auto"/>
              <w:bottom w:val="single" w:sz="8" w:space="0" w:color="auto"/>
              <w:right w:val="single" w:sz="4" w:space="0" w:color="auto"/>
            </w:tcBorders>
          </w:tcPr>
          <w:p w14:paraId="3DB966CA"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2018</w:t>
            </w:r>
          </w:p>
        </w:tc>
        <w:tc>
          <w:tcPr>
            <w:tcW w:w="358" w:type="pct"/>
            <w:tcBorders>
              <w:top w:val="single" w:sz="4" w:space="0" w:color="auto"/>
              <w:left w:val="single" w:sz="4" w:space="0" w:color="auto"/>
              <w:bottom w:val="single" w:sz="8" w:space="0" w:color="auto"/>
              <w:right w:val="single" w:sz="12" w:space="0" w:color="auto"/>
            </w:tcBorders>
          </w:tcPr>
          <w:p w14:paraId="0CA91B8B"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2019</w:t>
            </w:r>
          </w:p>
        </w:tc>
      </w:tr>
      <w:tr w:rsidR="00AA3A5F" w:rsidRPr="00B25A22" w14:paraId="3C386EC0" w14:textId="77777777" w:rsidTr="007A68D5">
        <w:trPr>
          <w:trHeight w:val="270"/>
        </w:trPr>
        <w:tc>
          <w:tcPr>
            <w:tcW w:w="755" w:type="pct"/>
            <w:tcBorders>
              <w:top w:val="nil"/>
              <w:left w:val="single" w:sz="12" w:space="0" w:color="auto"/>
              <w:bottom w:val="single" w:sz="4" w:space="0" w:color="auto"/>
              <w:right w:val="single" w:sz="8" w:space="0" w:color="auto"/>
            </w:tcBorders>
            <w:shd w:val="clear" w:color="auto" w:fill="auto"/>
            <w:noWrap/>
            <w:vAlign w:val="bottom"/>
            <w:hideMark/>
          </w:tcPr>
          <w:p w14:paraId="5EA9856E"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100,1 - a více</w:t>
            </w:r>
          </w:p>
        </w:tc>
        <w:tc>
          <w:tcPr>
            <w:tcW w:w="405" w:type="pct"/>
            <w:tcBorders>
              <w:top w:val="nil"/>
              <w:left w:val="single" w:sz="8" w:space="0" w:color="auto"/>
              <w:bottom w:val="single" w:sz="4" w:space="0" w:color="auto"/>
              <w:right w:val="single" w:sz="4" w:space="0" w:color="auto"/>
            </w:tcBorders>
            <w:shd w:val="clear" w:color="auto" w:fill="auto"/>
            <w:noWrap/>
            <w:vAlign w:val="bottom"/>
            <w:hideMark/>
          </w:tcPr>
          <w:p w14:paraId="2870B5DD"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23</w:t>
            </w:r>
          </w:p>
        </w:tc>
        <w:tc>
          <w:tcPr>
            <w:tcW w:w="369" w:type="pct"/>
            <w:tcBorders>
              <w:top w:val="nil"/>
              <w:left w:val="nil"/>
              <w:bottom w:val="single" w:sz="4" w:space="0" w:color="auto"/>
              <w:right w:val="single" w:sz="4" w:space="0" w:color="auto"/>
            </w:tcBorders>
            <w:shd w:val="clear" w:color="auto" w:fill="auto"/>
            <w:noWrap/>
            <w:vAlign w:val="bottom"/>
            <w:hideMark/>
          </w:tcPr>
          <w:p w14:paraId="06FD9E27"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22</w:t>
            </w:r>
          </w:p>
        </w:tc>
        <w:tc>
          <w:tcPr>
            <w:tcW w:w="432" w:type="pct"/>
            <w:tcBorders>
              <w:top w:val="nil"/>
              <w:left w:val="nil"/>
              <w:bottom w:val="single" w:sz="4" w:space="0" w:color="auto"/>
              <w:right w:val="single" w:sz="4" w:space="0" w:color="auto"/>
            </w:tcBorders>
            <w:shd w:val="clear" w:color="auto" w:fill="auto"/>
            <w:noWrap/>
            <w:vAlign w:val="bottom"/>
            <w:hideMark/>
          </w:tcPr>
          <w:p w14:paraId="4AA900DB"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23</w:t>
            </w:r>
          </w:p>
        </w:tc>
        <w:tc>
          <w:tcPr>
            <w:tcW w:w="432" w:type="pct"/>
            <w:tcBorders>
              <w:top w:val="nil"/>
              <w:left w:val="nil"/>
              <w:bottom w:val="single" w:sz="4" w:space="0" w:color="auto"/>
              <w:right w:val="single" w:sz="4" w:space="0" w:color="auto"/>
            </w:tcBorders>
            <w:shd w:val="clear" w:color="auto" w:fill="auto"/>
            <w:noWrap/>
            <w:vAlign w:val="bottom"/>
            <w:hideMark/>
          </w:tcPr>
          <w:p w14:paraId="50929E5C"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19</w:t>
            </w:r>
          </w:p>
        </w:tc>
        <w:tc>
          <w:tcPr>
            <w:tcW w:w="431" w:type="pct"/>
            <w:tcBorders>
              <w:top w:val="nil"/>
              <w:left w:val="nil"/>
              <w:bottom w:val="single" w:sz="4" w:space="0" w:color="auto"/>
              <w:right w:val="single" w:sz="4" w:space="0" w:color="auto"/>
            </w:tcBorders>
            <w:shd w:val="clear" w:color="auto" w:fill="auto"/>
            <w:noWrap/>
            <w:vAlign w:val="bottom"/>
            <w:hideMark/>
          </w:tcPr>
          <w:p w14:paraId="23D2103B"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20</w:t>
            </w:r>
          </w:p>
        </w:tc>
        <w:tc>
          <w:tcPr>
            <w:tcW w:w="368" w:type="pct"/>
            <w:tcBorders>
              <w:top w:val="nil"/>
              <w:left w:val="nil"/>
              <w:bottom w:val="single" w:sz="4" w:space="0" w:color="auto"/>
              <w:right w:val="single" w:sz="4" w:space="0" w:color="auto"/>
            </w:tcBorders>
            <w:shd w:val="clear" w:color="auto" w:fill="auto"/>
            <w:noWrap/>
            <w:vAlign w:val="bottom"/>
            <w:hideMark/>
          </w:tcPr>
          <w:p w14:paraId="4CC574FC"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21</w:t>
            </w:r>
          </w:p>
        </w:tc>
        <w:tc>
          <w:tcPr>
            <w:tcW w:w="368" w:type="pct"/>
            <w:tcBorders>
              <w:top w:val="nil"/>
              <w:left w:val="nil"/>
              <w:bottom w:val="single" w:sz="4" w:space="0" w:color="auto"/>
              <w:right w:val="single" w:sz="4" w:space="0" w:color="auto"/>
            </w:tcBorders>
            <w:shd w:val="clear" w:color="auto" w:fill="auto"/>
            <w:noWrap/>
            <w:vAlign w:val="bottom"/>
            <w:hideMark/>
          </w:tcPr>
          <w:p w14:paraId="4E25C14F"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21</w:t>
            </w:r>
          </w:p>
        </w:tc>
        <w:tc>
          <w:tcPr>
            <w:tcW w:w="362" w:type="pct"/>
            <w:tcBorders>
              <w:top w:val="nil"/>
              <w:left w:val="nil"/>
              <w:bottom w:val="single" w:sz="4" w:space="0" w:color="auto"/>
              <w:right w:val="single" w:sz="4" w:space="0" w:color="auto"/>
            </w:tcBorders>
            <w:shd w:val="clear" w:color="auto" w:fill="auto"/>
            <w:noWrap/>
            <w:vAlign w:val="bottom"/>
            <w:hideMark/>
          </w:tcPr>
          <w:p w14:paraId="1975E4C5"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29</w:t>
            </w:r>
          </w:p>
        </w:tc>
        <w:tc>
          <w:tcPr>
            <w:tcW w:w="360" w:type="pct"/>
            <w:tcBorders>
              <w:top w:val="nil"/>
              <w:left w:val="single" w:sz="4" w:space="0" w:color="auto"/>
              <w:bottom w:val="single" w:sz="4" w:space="0" w:color="auto"/>
              <w:right w:val="single" w:sz="4" w:space="0" w:color="auto"/>
            </w:tcBorders>
            <w:vAlign w:val="bottom"/>
          </w:tcPr>
          <w:p w14:paraId="5AD610B6"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32</w:t>
            </w:r>
          </w:p>
        </w:tc>
        <w:tc>
          <w:tcPr>
            <w:tcW w:w="360" w:type="pct"/>
            <w:tcBorders>
              <w:top w:val="nil"/>
              <w:left w:val="single" w:sz="4" w:space="0" w:color="auto"/>
              <w:bottom w:val="single" w:sz="4" w:space="0" w:color="auto"/>
              <w:right w:val="single" w:sz="4" w:space="0" w:color="auto"/>
            </w:tcBorders>
            <w:vAlign w:val="bottom"/>
          </w:tcPr>
          <w:p w14:paraId="614C0A54"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30</w:t>
            </w:r>
          </w:p>
        </w:tc>
        <w:tc>
          <w:tcPr>
            <w:tcW w:w="358" w:type="pct"/>
            <w:tcBorders>
              <w:top w:val="nil"/>
              <w:left w:val="single" w:sz="4" w:space="0" w:color="auto"/>
              <w:bottom w:val="single" w:sz="4" w:space="0" w:color="auto"/>
              <w:right w:val="single" w:sz="12" w:space="0" w:color="auto"/>
            </w:tcBorders>
            <w:vAlign w:val="bottom"/>
          </w:tcPr>
          <w:p w14:paraId="3D352E27"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30</w:t>
            </w:r>
          </w:p>
        </w:tc>
      </w:tr>
      <w:tr w:rsidR="00AA3A5F" w:rsidRPr="00B25A22" w14:paraId="22D96F83" w14:textId="77777777" w:rsidTr="007A68D5">
        <w:trPr>
          <w:trHeight w:val="115"/>
        </w:trPr>
        <w:tc>
          <w:tcPr>
            <w:tcW w:w="755" w:type="pct"/>
            <w:tcBorders>
              <w:top w:val="nil"/>
              <w:left w:val="single" w:sz="12" w:space="0" w:color="auto"/>
              <w:bottom w:val="single" w:sz="4" w:space="0" w:color="auto"/>
              <w:right w:val="single" w:sz="8" w:space="0" w:color="auto"/>
            </w:tcBorders>
            <w:shd w:val="clear" w:color="auto" w:fill="auto"/>
            <w:noWrap/>
            <w:vAlign w:val="bottom"/>
            <w:hideMark/>
          </w:tcPr>
          <w:p w14:paraId="5BFD9AC2"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50,1 - 100</w:t>
            </w:r>
          </w:p>
        </w:tc>
        <w:tc>
          <w:tcPr>
            <w:tcW w:w="405" w:type="pct"/>
            <w:tcBorders>
              <w:top w:val="nil"/>
              <w:left w:val="single" w:sz="8" w:space="0" w:color="auto"/>
              <w:bottom w:val="single" w:sz="4" w:space="0" w:color="auto"/>
              <w:right w:val="single" w:sz="4" w:space="0" w:color="auto"/>
            </w:tcBorders>
            <w:shd w:val="clear" w:color="auto" w:fill="auto"/>
            <w:noWrap/>
            <w:vAlign w:val="bottom"/>
            <w:hideMark/>
          </w:tcPr>
          <w:p w14:paraId="2B26EA9B"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22</w:t>
            </w:r>
          </w:p>
        </w:tc>
        <w:tc>
          <w:tcPr>
            <w:tcW w:w="369" w:type="pct"/>
            <w:tcBorders>
              <w:top w:val="nil"/>
              <w:left w:val="nil"/>
              <w:bottom w:val="single" w:sz="4" w:space="0" w:color="auto"/>
              <w:right w:val="single" w:sz="4" w:space="0" w:color="auto"/>
            </w:tcBorders>
            <w:shd w:val="clear" w:color="auto" w:fill="auto"/>
            <w:noWrap/>
            <w:vAlign w:val="bottom"/>
            <w:hideMark/>
          </w:tcPr>
          <w:p w14:paraId="0F0305E4"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23</w:t>
            </w:r>
          </w:p>
        </w:tc>
        <w:tc>
          <w:tcPr>
            <w:tcW w:w="432" w:type="pct"/>
            <w:tcBorders>
              <w:top w:val="nil"/>
              <w:left w:val="nil"/>
              <w:bottom w:val="single" w:sz="4" w:space="0" w:color="auto"/>
              <w:right w:val="single" w:sz="4" w:space="0" w:color="auto"/>
            </w:tcBorders>
            <w:shd w:val="clear" w:color="auto" w:fill="auto"/>
            <w:noWrap/>
            <w:vAlign w:val="bottom"/>
            <w:hideMark/>
          </w:tcPr>
          <w:p w14:paraId="0205BD8B"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22</w:t>
            </w:r>
          </w:p>
        </w:tc>
        <w:tc>
          <w:tcPr>
            <w:tcW w:w="432" w:type="pct"/>
            <w:tcBorders>
              <w:top w:val="nil"/>
              <w:left w:val="nil"/>
              <w:bottom w:val="single" w:sz="4" w:space="0" w:color="auto"/>
              <w:right w:val="single" w:sz="4" w:space="0" w:color="auto"/>
            </w:tcBorders>
            <w:shd w:val="clear" w:color="auto" w:fill="auto"/>
            <w:noWrap/>
            <w:vAlign w:val="bottom"/>
            <w:hideMark/>
          </w:tcPr>
          <w:p w14:paraId="31453C70"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20</w:t>
            </w:r>
          </w:p>
        </w:tc>
        <w:tc>
          <w:tcPr>
            <w:tcW w:w="431" w:type="pct"/>
            <w:tcBorders>
              <w:top w:val="nil"/>
              <w:left w:val="nil"/>
              <w:bottom w:val="single" w:sz="4" w:space="0" w:color="auto"/>
              <w:right w:val="single" w:sz="4" w:space="0" w:color="auto"/>
            </w:tcBorders>
            <w:shd w:val="clear" w:color="auto" w:fill="auto"/>
            <w:noWrap/>
            <w:vAlign w:val="bottom"/>
            <w:hideMark/>
          </w:tcPr>
          <w:p w14:paraId="482C5E58"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21</w:t>
            </w:r>
          </w:p>
        </w:tc>
        <w:tc>
          <w:tcPr>
            <w:tcW w:w="368" w:type="pct"/>
            <w:tcBorders>
              <w:top w:val="nil"/>
              <w:left w:val="nil"/>
              <w:bottom w:val="single" w:sz="4" w:space="0" w:color="auto"/>
              <w:right w:val="single" w:sz="4" w:space="0" w:color="auto"/>
            </w:tcBorders>
            <w:shd w:val="clear" w:color="auto" w:fill="auto"/>
            <w:noWrap/>
            <w:vAlign w:val="bottom"/>
            <w:hideMark/>
          </w:tcPr>
          <w:p w14:paraId="692C35A6"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20</w:t>
            </w:r>
          </w:p>
        </w:tc>
        <w:tc>
          <w:tcPr>
            <w:tcW w:w="368" w:type="pct"/>
            <w:tcBorders>
              <w:top w:val="nil"/>
              <w:left w:val="nil"/>
              <w:bottom w:val="single" w:sz="4" w:space="0" w:color="auto"/>
              <w:right w:val="single" w:sz="4" w:space="0" w:color="auto"/>
            </w:tcBorders>
            <w:shd w:val="clear" w:color="auto" w:fill="auto"/>
            <w:noWrap/>
            <w:vAlign w:val="bottom"/>
            <w:hideMark/>
          </w:tcPr>
          <w:p w14:paraId="60131FC8"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20</w:t>
            </w:r>
          </w:p>
        </w:tc>
        <w:tc>
          <w:tcPr>
            <w:tcW w:w="362" w:type="pct"/>
            <w:tcBorders>
              <w:top w:val="nil"/>
              <w:left w:val="nil"/>
              <w:bottom w:val="single" w:sz="4" w:space="0" w:color="auto"/>
              <w:right w:val="single" w:sz="4" w:space="0" w:color="auto"/>
            </w:tcBorders>
            <w:shd w:val="clear" w:color="auto" w:fill="auto"/>
            <w:noWrap/>
            <w:vAlign w:val="bottom"/>
            <w:hideMark/>
          </w:tcPr>
          <w:p w14:paraId="58B72CDF"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17</w:t>
            </w:r>
          </w:p>
        </w:tc>
        <w:tc>
          <w:tcPr>
            <w:tcW w:w="360" w:type="pct"/>
            <w:tcBorders>
              <w:top w:val="nil"/>
              <w:left w:val="single" w:sz="4" w:space="0" w:color="auto"/>
              <w:bottom w:val="single" w:sz="4" w:space="0" w:color="auto"/>
              <w:right w:val="single" w:sz="4" w:space="0" w:color="auto"/>
            </w:tcBorders>
            <w:vAlign w:val="bottom"/>
          </w:tcPr>
          <w:p w14:paraId="06415276"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17</w:t>
            </w:r>
          </w:p>
        </w:tc>
        <w:tc>
          <w:tcPr>
            <w:tcW w:w="360" w:type="pct"/>
            <w:tcBorders>
              <w:top w:val="nil"/>
              <w:left w:val="single" w:sz="4" w:space="0" w:color="auto"/>
              <w:bottom w:val="single" w:sz="4" w:space="0" w:color="auto"/>
              <w:right w:val="single" w:sz="4" w:space="0" w:color="auto"/>
            </w:tcBorders>
            <w:vAlign w:val="bottom"/>
          </w:tcPr>
          <w:p w14:paraId="13053E7B"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23</w:t>
            </w:r>
          </w:p>
        </w:tc>
        <w:tc>
          <w:tcPr>
            <w:tcW w:w="358" w:type="pct"/>
            <w:tcBorders>
              <w:top w:val="nil"/>
              <w:left w:val="single" w:sz="4" w:space="0" w:color="auto"/>
              <w:bottom w:val="single" w:sz="4" w:space="0" w:color="auto"/>
              <w:right w:val="single" w:sz="12" w:space="0" w:color="auto"/>
            </w:tcBorders>
            <w:vAlign w:val="bottom"/>
          </w:tcPr>
          <w:p w14:paraId="4B3A9E58"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20</w:t>
            </w:r>
          </w:p>
        </w:tc>
      </w:tr>
      <w:tr w:rsidR="00AA3A5F" w:rsidRPr="00B25A22" w14:paraId="58CA93E9" w14:textId="77777777" w:rsidTr="007A68D5">
        <w:trPr>
          <w:trHeight w:val="132"/>
        </w:trPr>
        <w:tc>
          <w:tcPr>
            <w:tcW w:w="755" w:type="pct"/>
            <w:tcBorders>
              <w:top w:val="nil"/>
              <w:left w:val="single" w:sz="12" w:space="0" w:color="auto"/>
              <w:bottom w:val="single" w:sz="4" w:space="0" w:color="auto"/>
              <w:right w:val="single" w:sz="8" w:space="0" w:color="auto"/>
            </w:tcBorders>
            <w:shd w:val="clear" w:color="auto" w:fill="auto"/>
            <w:noWrap/>
            <w:vAlign w:val="bottom"/>
            <w:hideMark/>
          </w:tcPr>
          <w:p w14:paraId="0A97AA64"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30,1 - 50</w:t>
            </w:r>
          </w:p>
        </w:tc>
        <w:tc>
          <w:tcPr>
            <w:tcW w:w="405" w:type="pct"/>
            <w:tcBorders>
              <w:top w:val="nil"/>
              <w:left w:val="single" w:sz="8" w:space="0" w:color="auto"/>
              <w:bottom w:val="single" w:sz="4" w:space="0" w:color="auto"/>
              <w:right w:val="single" w:sz="4" w:space="0" w:color="auto"/>
            </w:tcBorders>
            <w:shd w:val="clear" w:color="auto" w:fill="auto"/>
            <w:noWrap/>
            <w:vAlign w:val="bottom"/>
            <w:hideMark/>
          </w:tcPr>
          <w:p w14:paraId="777081D6"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36</w:t>
            </w:r>
          </w:p>
        </w:tc>
        <w:tc>
          <w:tcPr>
            <w:tcW w:w="369" w:type="pct"/>
            <w:tcBorders>
              <w:top w:val="nil"/>
              <w:left w:val="nil"/>
              <w:bottom w:val="single" w:sz="4" w:space="0" w:color="auto"/>
              <w:right w:val="single" w:sz="4" w:space="0" w:color="auto"/>
            </w:tcBorders>
            <w:shd w:val="clear" w:color="auto" w:fill="auto"/>
            <w:noWrap/>
            <w:vAlign w:val="bottom"/>
            <w:hideMark/>
          </w:tcPr>
          <w:p w14:paraId="3231E1D5"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35</w:t>
            </w:r>
          </w:p>
        </w:tc>
        <w:tc>
          <w:tcPr>
            <w:tcW w:w="432" w:type="pct"/>
            <w:tcBorders>
              <w:top w:val="nil"/>
              <w:left w:val="nil"/>
              <w:bottom w:val="single" w:sz="4" w:space="0" w:color="auto"/>
              <w:right w:val="single" w:sz="4" w:space="0" w:color="auto"/>
            </w:tcBorders>
            <w:shd w:val="clear" w:color="auto" w:fill="auto"/>
            <w:noWrap/>
            <w:vAlign w:val="bottom"/>
            <w:hideMark/>
          </w:tcPr>
          <w:p w14:paraId="3EB18238"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36</w:t>
            </w:r>
          </w:p>
        </w:tc>
        <w:tc>
          <w:tcPr>
            <w:tcW w:w="432" w:type="pct"/>
            <w:tcBorders>
              <w:top w:val="nil"/>
              <w:left w:val="nil"/>
              <w:bottom w:val="single" w:sz="4" w:space="0" w:color="auto"/>
              <w:right w:val="single" w:sz="4" w:space="0" w:color="auto"/>
            </w:tcBorders>
            <w:shd w:val="clear" w:color="auto" w:fill="auto"/>
            <w:noWrap/>
            <w:vAlign w:val="bottom"/>
            <w:hideMark/>
          </w:tcPr>
          <w:p w14:paraId="3ADD7004"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21</w:t>
            </w:r>
          </w:p>
        </w:tc>
        <w:tc>
          <w:tcPr>
            <w:tcW w:w="431" w:type="pct"/>
            <w:tcBorders>
              <w:top w:val="nil"/>
              <w:left w:val="nil"/>
              <w:bottom w:val="single" w:sz="4" w:space="0" w:color="auto"/>
              <w:right w:val="single" w:sz="4" w:space="0" w:color="auto"/>
            </w:tcBorders>
            <w:shd w:val="clear" w:color="auto" w:fill="auto"/>
            <w:noWrap/>
            <w:vAlign w:val="bottom"/>
            <w:hideMark/>
          </w:tcPr>
          <w:p w14:paraId="5C1F22D7"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19</w:t>
            </w:r>
          </w:p>
        </w:tc>
        <w:tc>
          <w:tcPr>
            <w:tcW w:w="368" w:type="pct"/>
            <w:tcBorders>
              <w:top w:val="nil"/>
              <w:left w:val="nil"/>
              <w:bottom w:val="single" w:sz="4" w:space="0" w:color="auto"/>
              <w:right w:val="single" w:sz="4" w:space="0" w:color="auto"/>
            </w:tcBorders>
            <w:shd w:val="clear" w:color="auto" w:fill="auto"/>
            <w:noWrap/>
            <w:vAlign w:val="bottom"/>
            <w:hideMark/>
          </w:tcPr>
          <w:p w14:paraId="318886B2"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19</w:t>
            </w:r>
          </w:p>
        </w:tc>
        <w:tc>
          <w:tcPr>
            <w:tcW w:w="368" w:type="pct"/>
            <w:tcBorders>
              <w:top w:val="nil"/>
              <w:left w:val="nil"/>
              <w:bottom w:val="single" w:sz="4" w:space="0" w:color="auto"/>
              <w:right w:val="single" w:sz="4" w:space="0" w:color="auto"/>
            </w:tcBorders>
            <w:shd w:val="clear" w:color="auto" w:fill="auto"/>
            <w:noWrap/>
            <w:vAlign w:val="bottom"/>
            <w:hideMark/>
          </w:tcPr>
          <w:p w14:paraId="5DA4266A"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21</w:t>
            </w:r>
          </w:p>
        </w:tc>
        <w:tc>
          <w:tcPr>
            <w:tcW w:w="362" w:type="pct"/>
            <w:tcBorders>
              <w:top w:val="nil"/>
              <w:left w:val="nil"/>
              <w:bottom w:val="single" w:sz="4" w:space="0" w:color="auto"/>
              <w:right w:val="single" w:sz="4" w:space="0" w:color="auto"/>
            </w:tcBorders>
            <w:shd w:val="clear" w:color="auto" w:fill="auto"/>
            <w:noWrap/>
            <w:vAlign w:val="bottom"/>
            <w:hideMark/>
          </w:tcPr>
          <w:p w14:paraId="7D62A2D8"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24</w:t>
            </w:r>
          </w:p>
        </w:tc>
        <w:tc>
          <w:tcPr>
            <w:tcW w:w="360" w:type="pct"/>
            <w:tcBorders>
              <w:top w:val="nil"/>
              <w:left w:val="single" w:sz="4" w:space="0" w:color="auto"/>
              <w:bottom w:val="single" w:sz="4" w:space="0" w:color="auto"/>
              <w:right w:val="single" w:sz="4" w:space="0" w:color="auto"/>
            </w:tcBorders>
            <w:vAlign w:val="bottom"/>
          </w:tcPr>
          <w:p w14:paraId="4C0E3FB7"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20</w:t>
            </w:r>
          </w:p>
        </w:tc>
        <w:tc>
          <w:tcPr>
            <w:tcW w:w="360" w:type="pct"/>
            <w:tcBorders>
              <w:top w:val="nil"/>
              <w:left w:val="single" w:sz="4" w:space="0" w:color="auto"/>
              <w:bottom w:val="single" w:sz="4" w:space="0" w:color="auto"/>
              <w:right w:val="single" w:sz="4" w:space="0" w:color="auto"/>
            </w:tcBorders>
            <w:vAlign w:val="bottom"/>
          </w:tcPr>
          <w:p w14:paraId="59AF2413"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30</w:t>
            </w:r>
          </w:p>
        </w:tc>
        <w:tc>
          <w:tcPr>
            <w:tcW w:w="358" w:type="pct"/>
            <w:tcBorders>
              <w:top w:val="nil"/>
              <w:left w:val="single" w:sz="4" w:space="0" w:color="auto"/>
              <w:bottom w:val="single" w:sz="4" w:space="0" w:color="auto"/>
              <w:right w:val="single" w:sz="12" w:space="0" w:color="auto"/>
            </w:tcBorders>
            <w:vAlign w:val="bottom"/>
          </w:tcPr>
          <w:p w14:paraId="2F07C984"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25</w:t>
            </w:r>
          </w:p>
        </w:tc>
      </w:tr>
      <w:tr w:rsidR="00AA3A5F" w:rsidRPr="00B25A22" w14:paraId="3D6F6624" w14:textId="77777777" w:rsidTr="007A68D5">
        <w:trPr>
          <w:trHeight w:val="77"/>
        </w:trPr>
        <w:tc>
          <w:tcPr>
            <w:tcW w:w="755" w:type="pct"/>
            <w:tcBorders>
              <w:top w:val="nil"/>
              <w:left w:val="single" w:sz="12" w:space="0" w:color="auto"/>
              <w:bottom w:val="single" w:sz="4" w:space="0" w:color="auto"/>
              <w:right w:val="single" w:sz="8" w:space="0" w:color="auto"/>
            </w:tcBorders>
            <w:shd w:val="clear" w:color="auto" w:fill="auto"/>
            <w:noWrap/>
            <w:vAlign w:val="bottom"/>
            <w:hideMark/>
          </w:tcPr>
          <w:p w14:paraId="6E992C01"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20,1 - 30</w:t>
            </w:r>
          </w:p>
        </w:tc>
        <w:tc>
          <w:tcPr>
            <w:tcW w:w="405" w:type="pct"/>
            <w:tcBorders>
              <w:top w:val="nil"/>
              <w:left w:val="single" w:sz="8" w:space="0" w:color="auto"/>
              <w:bottom w:val="single" w:sz="4" w:space="0" w:color="auto"/>
              <w:right w:val="single" w:sz="4" w:space="0" w:color="auto"/>
            </w:tcBorders>
            <w:shd w:val="clear" w:color="auto" w:fill="auto"/>
            <w:noWrap/>
            <w:vAlign w:val="bottom"/>
            <w:hideMark/>
          </w:tcPr>
          <w:p w14:paraId="053A24D1"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17</w:t>
            </w:r>
          </w:p>
        </w:tc>
        <w:tc>
          <w:tcPr>
            <w:tcW w:w="369" w:type="pct"/>
            <w:tcBorders>
              <w:top w:val="nil"/>
              <w:left w:val="nil"/>
              <w:bottom w:val="single" w:sz="4" w:space="0" w:color="auto"/>
              <w:right w:val="single" w:sz="4" w:space="0" w:color="auto"/>
            </w:tcBorders>
            <w:shd w:val="clear" w:color="auto" w:fill="auto"/>
            <w:noWrap/>
            <w:vAlign w:val="bottom"/>
            <w:hideMark/>
          </w:tcPr>
          <w:p w14:paraId="22A3228B"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18</w:t>
            </w:r>
          </w:p>
        </w:tc>
        <w:tc>
          <w:tcPr>
            <w:tcW w:w="432" w:type="pct"/>
            <w:tcBorders>
              <w:top w:val="nil"/>
              <w:left w:val="nil"/>
              <w:bottom w:val="single" w:sz="4" w:space="0" w:color="auto"/>
              <w:right w:val="single" w:sz="4" w:space="0" w:color="auto"/>
            </w:tcBorders>
            <w:shd w:val="clear" w:color="auto" w:fill="auto"/>
            <w:noWrap/>
            <w:vAlign w:val="bottom"/>
            <w:hideMark/>
          </w:tcPr>
          <w:p w14:paraId="6771064F"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19</w:t>
            </w:r>
          </w:p>
        </w:tc>
        <w:tc>
          <w:tcPr>
            <w:tcW w:w="432" w:type="pct"/>
            <w:tcBorders>
              <w:top w:val="nil"/>
              <w:left w:val="nil"/>
              <w:bottom w:val="single" w:sz="4" w:space="0" w:color="auto"/>
              <w:right w:val="single" w:sz="4" w:space="0" w:color="auto"/>
            </w:tcBorders>
            <w:shd w:val="clear" w:color="auto" w:fill="auto"/>
            <w:noWrap/>
            <w:vAlign w:val="bottom"/>
            <w:hideMark/>
          </w:tcPr>
          <w:p w14:paraId="760C0067"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23</w:t>
            </w:r>
          </w:p>
        </w:tc>
        <w:tc>
          <w:tcPr>
            <w:tcW w:w="431" w:type="pct"/>
            <w:tcBorders>
              <w:top w:val="nil"/>
              <w:left w:val="nil"/>
              <w:bottom w:val="single" w:sz="4" w:space="0" w:color="auto"/>
              <w:right w:val="single" w:sz="4" w:space="0" w:color="auto"/>
            </w:tcBorders>
            <w:shd w:val="clear" w:color="auto" w:fill="auto"/>
            <w:noWrap/>
            <w:vAlign w:val="bottom"/>
            <w:hideMark/>
          </w:tcPr>
          <w:p w14:paraId="45786B59"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24</w:t>
            </w:r>
          </w:p>
        </w:tc>
        <w:tc>
          <w:tcPr>
            <w:tcW w:w="368" w:type="pct"/>
            <w:tcBorders>
              <w:top w:val="nil"/>
              <w:left w:val="nil"/>
              <w:bottom w:val="single" w:sz="4" w:space="0" w:color="auto"/>
              <w:right w:val="single" w:sz="4" w:space="0" w:color="auto"/>
            </w:tcBorders>
            <w:shd w:val="clear" w:color="auto" w:fill="auto"/>
            <w:noWrap/>
            <w:vAlign w:val="bottom"/>
            <w:hideMark/>
          </w:tcPr>
          <w:p w14:paraId="37BB1FF5"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23</w:t>
            </w:r>
          </w:p>
        </w:tc>
        <w:tc>
          <w:tcPr>
            <w:tcW w:w="368" w:type="pct"/>
            <w:tcBorders>
              <w:top w:val="nil"/>
              <w:left w:val="nil"/>
              <w:bottom w:val="single" w:sz="4" w:space="0" w:color="auto"/>
              <w:right w:val="single" w:sz="4" w:space="0" w:color="auto"/>
            </w:tcBorders>
            <w:shd w:val="clear" w:color="auto" w:fill="auto"/>
            <w:noWrap/>
            <w:vAlign w:val="bottom"/>
            <w:hideMark/>
          </w:tcPr>
          <w:p w14:paraId="20C5BFB0"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23</w:t>
            </w:r>
          </w:p>
        </w:tc>
        <w:tc>
          <w:tcPr>
            <w:tcW w:w="362" w:type="pct"/>
            <w:tcBorders>
              <w:top w:val="nil"/>
              <w:left w:val="nil"/>
              <w:bottom w:val="single" w:sz="4" w:space="0" w:color="auto"/>
              <w:right w:val="single" w:sz="4" w:space="0" w:color="auto"/>
            </w:tcBorders>
            <w:shd w:val="clear" w:color="auto" w:fill="auto"/>
            <w:noWrap/>
            <w:vAlign w:val="bottom"/>
            <w:hideMark/>
          </w:tcPr>
          <w:p w14:paraId="5D5799EE"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15</w:t>
            </w:r>
          </w:p>
        </w:tc>
        <w:tc>
          <w:tcPr>
            <w:tcW w:w="360" w:type="pct"/>
            <w:tcBorders>
              <w:top w:val="nil"/>
              <w:left w:val="single" w:sz="4" w:space="0" w:color="auto"/>
              <w:bottom w:val="single" w:sz="4" w:space="0" w:color="auto"/>
              <w:right w:val="single" w:sz="4" w:space="0" w:color="auto"/>
            </w:tcBorders>
            <w:vAlign w:val="bottom"/>
          </w:tcPr>
          <w:p w14:paraId="04B914E2"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28</w:t>
            </w:r>
          </w:p>
        </w:tc>
        <w:tc>
          <w:tcPr>
            <w:tcW w:w="360" w:type="pct"/>
            <w:tcBorders>
              <w:top w:val="nil"/>
              <w:left w:val="single" w:sz="4" w:space="0" w:color="auto"/>
              <w:bottom w:val="single" w:sz="4" w:space="0" w:color="auto"/>
              <w:right w:val="single" w:sz="4" w:space="0" w:color="auto"/>
            </w:tcBorders>
            <w:vAlign w:val="bottom"/>
          </w:tcPr>
          <w:p w14:paraId="4B62D846"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27</w:t>
            </w:r>
          </w:p>
        </w:tc>
        <w:tc>
          <w:tcPr>
            <w:tcW w:w="358" w:type="pct"/>
            <w:tcBorders>
              <w:top w:val="nil"/>
              <w:left w:val="single" w:sz="4" w:space="0" w:color="auto"/>
              <w:bottom w:val="single" w:sz="4" w:space="0" w:color="auto"/>
              <w:right w:val="single" w:sz="12" w:space="0" w:color="auto"/>
            </w:tcBorders>
            <w:vAlign w:val="bottom"/>
          </w:tcPr>
          <w:p w14:paraId="2A0FDBC9"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19</w:t>
            </w:r>
          </w:p>
        </w:tc>
      </w:tr>
      <w:tr w:rsidR="00AA3A5F" w:rsidRPr="00B25A22" w14:paraId="26DBAE66" w14:textId="77777777" w:rsidTr="007A68D5">
        <w:trPr>
          <w:trHeight w:val="326"/>
        </w:trPr>
        <w:tc>
          <w:tcPr>
            <w:tcW w:w="755" w:type="pct"/>
            <w:tcBorders>
              <w:top w:val="nil"/>
              <w:left w:val="single" w:sz="12" w:space="0" w:color="auto"/>
              <w:bottom w:val="single" w:sz="4" w:space="0" w:color="auto"/>
              <w:right w:val="single" w:sz="8" w:space="0" w:color="auto"/>
            </w:tcBorders>
            <w:shd w:val="clear" w:color="auto" w:fill="auto"/>
            <w:noWrap/>
            <w:vAlign w:val="bottom"/>
            <w:hideMark/>
          </w:tcPr>
          <w:p w14:paraId="75AE4ECA"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10,1 - 20</w:t>
            </w:r>
          </w:p>
        </w:tc>
        <w:tc>
          <w:tcPr>
            <w:tcW w:w="405" w:type="pct"/>
            <w:tcBorders>
              <w:top w:val="nil"/>
              <w:left w:val="single" w:sz="8" w:space="0" w:color="auto"/>
              <w:bottom w:val="single" w:sz="4" w:space="0" w:color="auto"/>
              <w:right w:val="single" w:sz="4" w:space="0" w:color="auto"/>
            </w:tcBorders>
            <w:shd w:val="clear" w:color="auto" w:fill="auto"/>
            <w:noWrap/>
            <w:vAlign w:val="bottom"/>
            <w:hideMark/>
          </w:tcPr>
          <w:p w14:paraId="3B1181CF"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34</w:t>
            </w:r>
          </w:p>
        </w:tc>
        <w:tc>
          <w:tcPr>
            <w:tcW w:w="369" w:type="pct"/>
            <w:tcBorders>
              <w:top w:val="nil"/>
              <w:left w:val="nil"/>
              <w:bottom w:val="single" w:sz="4" w:space="0" w:color="auto"/>
              <w:right w:val="single" w:sz="4" w:space="0" w:color="auto"/>
            </w:tcBorders>
            <w:shd w:val="clear" w:color="auto" w:fill="auto"/>
            <w:noWrap/>
            <w:vAlign w:val="bottom"/>
            <w:hideMark/>
          </w:tcPr>
          <w:p w14:paraId="29ADC7BB"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33</w:t>
            </w:r>
          </w:p>
        </w:tc>
        <w:tc>
          <w:tcPr>
            <w:tcW w:w="432" w:type="pct"/>
            <w:tcBorders>
              <w:top w:val="nil"/>
              <w:left w:val="nil"/>
              <w:bottom w:val="single" w:sz="4" w:space="0" w:color="auto"/>
              <w:right w:val="single" w:sz="4" w:space="0" w:color="auto"/>
            </w:tcBorders>
            <w:shd w:val="clear" w:color="auto" w:fill="auto"/>
            <w:noWrap/>
            <w:vAlign w:val="bottom"/>
            <w:hideMark/>
          </w:tcPr>
          <w:p w14:paraId="0AD40922"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33</w:t>
            </w:r>
          </w:p>
        </w:tc>
        <w:tc>
          <w:tcPr>
            <w:tcW w:w="432" w:type="pct"/>
            <w:tcBorders>
              <w:top w:val="nil"/>
              <w:left w:val="nil"/>
              <w:bottom w:val="single" w:sz="4" w:space="0" w:color="auto"/>
              <w:right w:val="single" w:sz="4" w:space="0" w:color="auto"/>
            </w:tcBorders>
            <w:shd w:val="clear" w:color="auto" w:fill="auto"/>
            <w:noWrap/>
            <w:vAlign w:val="bottom"/>
            <w:hideMark/>
          </w:tcPr>
          <w:p w14:paraId="036F19AC"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44</w:t>
            </w:r>
          </w:p>
        </w:tc>
        <w:tc>
          <w:tcPr>
            <w:tcW w:w="431" w:type="pct"/>
            <w:tcBorders>
              <w:top w:val="nil"/>
              <w:left w:val="nil"/>
              <w:bottom w:val="single" w:sz="4" w:space="0" w:color="auto"/>
              <w:right w:val="single" w:sz="4" w:space="0" w:color="auto"/>
            </w:tcBorders>
            <w:shd w:val="clear" w:color="auto" w:fill="auto"/>
            <w:noWrap/>
            <w:vAlign w:val="bottom"/>
            <w:hideMark/>
          </w:tcPr>
          <w:p w14:paraId="5838976D"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46</w:t>
            </w:r>
          </w:p>
        </w:tc>
        <w:tc>
          <w:tcPr>
            <w:tcW w:w="368" w:type="pct"/>
            <w:tcBorders>
              <w:top w:val="nil"/>
              <w:left w:val="nil"/>
              <w:bottom w:val="single" w:sz="4" w:space="0" w:color="auto"/>
              <w:right w:val="single" w:sz="4" w:space="0" w:color="auto"/>
            </w:tcBorders>
            <w:shd w:val="clear" w:color="auto" w:fill="auto"/>
            <w:noWrap/>
            <w:vAlign w:val="bottom"/>
            <w:hideMark/>
          </w:tcPr>
          <w:p w14:paraId="0E16166E"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45</w:t>
            </w:r>
          </w:p>
        </w:tc>
        <w:tc>
          <w:tcPr>
            <w:tcW w:w="368" w:type="pct"/>
            <w:tcBorders>
              <w:top w:val="nil"/>
              <w:left w:val="nil"/>
              <w:bottom w:val="single" w:sz="4" w:space="0" w:color="auto"/>
              <w:right w:val="single" w:sz="4" w:space="0" w:color="auto"/>
            </w:tcBorders>
            <w:shd w:val="clear" w:color="auto" w:fill="auto"/>
            <w:noWrap/>
            <w:vAlign w:val="bottom"/>
            <w:hideMark/>
          </w:tcPr>
          <w:p w14:paraId="006727AC"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43</w:t>
            </w:r>
          </w:p>
        </w:tc>
        <w:tc>
          <w:tcPr>
            <w:tcW w:w="362" w:type="pct"/>
            <w:tcBorders>
              <w:top w:val="nil"/>
              <w:left w:val="nil"/>
              <w:bottom w:val="single" w:sz="4" w:space="0" w:color="auto"/>
              <w:right w:val="single" w:sz="4" w:space="0" w:color="auto"/>
            </w:tcBorders>
            <w:shd w:val="clear" w:color="auto" w:fill="auto"/>
            <w:noWrap/>
            <w:vAlign w:val="bottom"/>
            <w:hideMark/>
          </w:tcPr>
          <w:p w14:paraId="10699D52"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48</w:t>
            </w:r>
          </w:p>
        </w:tc>
        <w:tc>
          <w:tcPr>
            <w:tcW w:w="360" w:type="pct"/>
            <w:tcBorders>
              <w:top w:val="nil"/>
              <w:left w:val="single" w:sz="4" w:space="0" w:color="auto"/>
              <w:bottom w:val="single" w:sz="4" w:space="0" w:color="auto"/>
              <w:right w:val="single" w:sz="4" w:space="0" w:color="auto"/>
            </w:tcBorders>
            <w:vAlign w:val="bottom"/>
          </w:tcPr>
          <w:p w14:paraId="3EC5103B"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43</w:t>
            </w:r>
          </w:p>
        </w:tc>
        <w:tc>
          <w:tcPr>
            <w:tcW w:w="360" w:type="pct"/>
            <w:tcBorders>
              <w:top w:val="nil"/>
              <w:left w:val="single" w:sz="4" w:space="0" w:color="auto"/>
              <w:bottom w:val="single" w:sz="4" w:space="0" w:color="auto"/>
              <w:right w:val="single" w:sz="4" w:space="0" w:color="auto"/>
            </w:tcBorders>
            <w:vAlign w:val="bottom"/>
          </w:tcPr>
          <w:p w14:paraId="290C8D8B"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54</w:t>
            </w:r>
          </w:p>
        </w:tc>
        <w:tc>
          <w:tcPr>
            <w:tcW w:w="358" w:type="pct"/>
            <w:tcBorders>
              <w:top w:val="nil"/>
              <w:left w:val="single" w:sz="4" w:space="0" w:color="auto"/>
              <w:bottom w:val="single" w:sz="4" w:space="0" w:color="auto"/>
              <w:right w:val="single" w:sz="12" w:space="0" w:color="auto"/>
            </w:tcBorders>
            <w:vAlign w:val="bottom"/>
          </w:tcPr>
          <w:p w14:paraId="619EDEF1"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40</w:t>
            </w:r>
          </w:p>
        </w:tc>
      </w:tr>
      <w:tr w:rsidR="00AA3A5F" w:rsidRPr="00B25A22" w14:paraId="1CD0173B" w14:textId="77777777" w:rsidTr="007A68D5">
        <w:trPr>
          <w:trHeight w:val="228"/>
        </w:trPr>
        <w:tc>
          <w:tcPr>
            <w:tcW w:w="755" w:type="pct"/>
            <w:tcBorders>
              <w:top w:val="nil"/>
              <w:left w:val="single" w:sz="12" w:space="0" w:color="auto"/>
              <w:bottom w:val="single" w:sz="4" w:space="0" w:color="auto"/>
              <w:right w:val="single" w:sz="8" w:space="0" w:color="auto"/>
            </w:tcBorders>
            <w:shd w:val="clear" w:color="auto" w:fill="auto"/>
            <w:noWrap/>
            <w:vAlign w:val="bottom"/>
            <w:hideMark/>
          </w:tcPr>
          <w:p w14:paraId="54BE59A4"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5,1 - 10</w:t>
            </w:r>
          </w:p>
        </w:tc>
        <w:tc>
          <w:tcPr>
            <w:tcW w:w="405" w:type="pct"/>
            <w:tcBorders>
              <w:top w:val="nil"/>
              <w:left w:val="single" w:sz="8" w:space="0" w:color="auto"/>
              <w:bottom w:val="single" w:sz="4" w:space="0" w:color="auto"/>
              <w:right w:val="single" w:sz="4" w:space="0" w:color="auto"/>
            </w:tcBorders>
            <w:shd w:val="clear" w:color="auto" w:fill="auto"/>
            <w:noWrap/>
            <w:vAlign w:val="bottom"/>
            <w:hideMark/>
          </w:tcPr>
          <w:p w14:paraId="2581D992"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46</w:t>
            </w:r>
          </w:p>
        </w:tc>
        <w:tc>
          <w:tcPr>
            <w:tcW w:w="369" w:type="pct"/>
            <w:tcBorders>
              <w:top w:val="nil"/>
              <w:left w:val="nil"/>
              <w:bottom w:val="single" w:sz="4" w:space="0" w:color="auto"/>
              <w:right w:val="single" w:sz="4" w:space="0" w:color="auto"/>
            </w:tcBorders>
            <w:shd w:val="clear" w:color="auto" w:fill="auto"/>
            <w:noWrap/>
            <w:vAlign w:val="bottom"/>
            <w:hideMark/>
          </w:tcPr>
          <w:p w14:paraId="01848C96"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43</w:t>
            </w:r>
          </w:p>
        </w:tc>
        <w:tc>
          <w:tcPr>
            <w:tcW w:w="432" w:type="pct"/>
            <w:tcBorders>
              <w:top w:val="nil"/>
              <w:left w:val="nil"/>
              <w:bottom w:val="single" w:sz="4" w:space="0" w:color="auto"/>
              <w:right w:val="single" w:sz="4" w:space="0" w:color="auto"/>
            </w:tcBorders>
            <w:shd w:val="clear" w:color="auto" w:fill="auto"/>
            <w:noWrap/>
            <w:vAlign w:val="bottom"/>
            <w:hideMark/>
          </w:tcPr>
          <w:p w14:paraId="55120219"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43</w:t>
            </w:r>
          </w:p>
        </w:tc>
        <w:tc>
          <w:tcPr>
            <w:tcW w:w="432" w:type="pct"/>
            <w:tcBorders>
              <w:top w:val="nil"/>
              <w:left w:val="nil"/>
              <w:bottom w:val="single" w:sz="4" w:space="0" w:color="auto"/>
              <w:right w:val="single" w:sz="4" w:space="0" w:color="auto"/>
            </w:tcBorders>
            <w:shd w:val="clear" w:color="auto" w:fill="auto"/>
            <w:noWrap/>
            <w:vAlign w:val="bottom"/>
            <w:hideMark/>
          </w:tcPr>
          <w:p w14:paraId="2EE76E59"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45</w:t>
            </w:r>
          </w:p>
        </w:tc>
        <w:tc>
          <w:tcPr>
            <w:tcW w:w="431" w:type="pct"/>
            <w:tcBorders>
              <w:top w:val="nil"/>
              <w:left w:val="nil"/>
              <w:bottom w:val="single" w:sz="4" w:space="0" w:color="auto"/>
              <w:right w:val="single" w:sz="4" w:space="0" w:color="auto"/>
            </w:tcBorders>
            <w:shd w:val="clear" w:color="auto" w:fill="auto"/>
            <w:noWrap/>
            <w:vAlign w:val="bottom"/>
            <w:hideMark/>
          </w:tcPr>
          <w:p w14:paraId="7F811589"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42</w:t>
            </w:r>
          </w:p>
        </w:tc>
        <w:tc>
          <w:tcPr>
            <w:tcW w:w="368" w:type="pct"/>
            <w:tcBorders>
              <w:top w:val="nil"/>
              <w:left w:val="nil"/>
              <w:bottom w:val="single" w:sz="4" w:space="0" w:color="auto"/>
              <w:right w:val="single" w:sz="4" w:space="0" w:color="auto"/>
            </w:tcBorders>
            <w:shd w:val="clear" w:color="auto" w:fill="auto"/>
            <w:noWrap/>
            <w:vAlign w:val="bottom"/>
            <w:hideMark/>
          </w:tcPr>
          <w:p w14:paraId="1624145F"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43</w:t>
            </w:r>
          </w:p>
        </w:tc>
        <w:tc>
          <w:tcPr>
            <w:tcW w:w="368" w:type="pct"/>
            <w:tcBorders>
              <w:top w:val="nil"/>
              <w:left w:val="nil"/>
              <w:bottom w:val="single" w:sz="4" w:space="0" w:color="auto"/>
              <w:right w:val="single" w:sz="4" w:space="0" w:color="auto"/>
            </w:tcBorders>
            <w:shd w:val="clear" w:color="auto" w:fill="auto"/>
            <w:noWrap/>
            <w:vAlign w:val="bottom"/>
            <w:hideMark/>
          </w:tcPr>
          <w:p w14:paraId="012E2DB3"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57</w:t>
            </w:r>
          </w:p>
        </w:tc>
        <w:tc>
          <w:tcPr>
            <w:tcW w:w="362" w:type="pct"/>
            <w:tcBorders>
              <w:top w:val="nil"/>
              <w:left w:val="nil"/>
              <w:bottom w:val="single" w:sz="4" w:space="0" w:color="auto"/>
              <w:right w:val="single" w:sz="4" w:space="0" w:color="auto"/>
            </w:tcBorders>
            <w:shd w:val="clear" w:color="auto" w:fill="auto"/>
            <w:noWrap/>
            <w:vAlign w:val="bottom"/>
            <w:hideMark/>
          </w:tcPr>
          <w:p w14:paraId="639BCD72"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55</w:t>
            </w:r>
          </w:p>
        </w:tc>
        <w:tc>
          <w:tcPr>
            <w:tcW w:w="360" w:type="pct"/>
            <w:tcBorders>
              <w:top w:val="nil"/>
              <w:left w:val="single" w:sz="4" w:space="0" w:color="auto"/>
              <w:bottom w:val="single" w:sz="4" w:space="0" w:color="auto"/>
              <w:right w:val="single" w:sz="4" w:space="0" w:color="auto"/>
            </w:tcBorders>
            <w:vAlign w:val="bottom"/>
          </w:tcPr>
          <w:p w14:paraId="6B2568B4"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59</w:t>
            </w:r>
          </w:p>
        </w:tc>
        <w:tc>
          <w:tcPr>
            <w:tcW w:w="360" w:type="pct"/>
            <w:tcBorders>
              <w:top w:val="nil"/>
              <w:left w:val="single" w:sz="4" w:space="0" w:color="auto"/>
              <w:bottom w:val="single" w:sz="4" w:space="0" w:color="auto"/>
              <w:right w:val="single" w:sz="4" w:space="0" w:color="auto"/>
            </w:tcBorders>
            <w:vAlign w:val="bottom"/>
          </w:tcPr>
          <w:p w14:paraId="152EA1FA"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68</w:t>
            </w:r>
          </w:p>
        </w:tc>
        <w:tc>
          <w:tcPr>
            <w:tcW w:w="358" w:type="pct"/>
            <w:tcBorders>
              <w:top w:val="nil"/>
              <w:left w:val="single" w:sz="4" w:space="0" w:color="auto"/>
              <w:bottom w:val="single" w:sz="4" w:space="0" w:color="auto"/>
              <w:right w:val="single" w:sz="12" w:space="0" w:color="auto"/>
            </w:tcBorders>
            <w:vAlign w:val="bottom"/>
          </w:tcPr>
          <w:p w14:paraId="3908AC8B"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66</w:t>
            </w:r>
          </w:p>
        </w:tc>
      </w:tr>
      <w:tr w:rsidR="00AA3A5F" w:rsidRPr="00B25A22" w14:paraId="7F4BCAE3" w14:textId="77777777" w:rsidTr="007A68D5">
        <w:trPr>
          <w:trHeight w:val="246"/>
        </w:trPr>
        <w:tc>
          <w:tcPr>
            <w:tcW w:w="755" w:type="pct"/>
            <w:tcBorders>
              <w:top w:val="nil"/>
              <w:left w:val="single" w:sz="12" w:space="0" w:color="auto"/>
              <w:bottom w:val="single" w:sz="4" w:space="0" w:color="auto"/>
              <w:right w:val="single" w:sz="8" w:space="0" w:color="auto"/>
            </w:tcBorders>
            <w:shd w:val="clear" w:color="auto" w:fill="auto"/>
            <w:noWrap/>
            <w:vAlign w:val="bottom"/>
            <w:hideMark/>
          </w:tcPr>
          <w:p w14:paraId="7617F7E4" w14:textId="77777777" w:rsidR="00AA3A5F" w:rsidRPr="00B25A22" w:rsidRDefault="00AA3A5F" w:rsidP="007A68D5">
            <w:pPr>
              <w:spacing w:line="240" w:lineRule="atLeast"/>
              <w:jc w:val="right"/>
              <w:rPr>
                <w:rFonts w:cs="Times New Roman"/>
                <w:b/>
                <w:bCs/>
                <w:sz w:val="20"/>
                <w:szCs w:val="20"/>
                <w:lang w:val="cs-CZ"/>
              </w:rPr>
            </w:pPr>
            <w:r w:rsidRPr="00B25A22">
              <w:rPr>
                <w:rFonts w:cs="Times New Roman"/>
                <w:b/>
                <w:bCs/>
                <w:sz w:val="20"/>
                <w:szCs w:val="20"/>
                <w:lang w:val="cs-CZ"/>
              </w:rPr>
              <w:t>1-5</w:t>
            </w:r>
          </w:p>
        </w:tc>
        <w:tc>
          <w:tcPr>
            <w:tcW w:w="405" w:type="pct"/>
            <w:tcBorders>
              <w:top w:val="nil"/>
              <w:left w:val="single" w:sz="8" w:space="0" w:color="auto"/>
              <w:bottom w:val="single" w:sz="4" w:space="0" w:color="auto"/>
              <w:right w:val="single" w:sz="4" w:space="0" w:color="auto"/>
            </w:tcBorders>
            <w:shd w:val="clear" w:color="auto" w:fill="auto"/>
            <w:noWrap/>
            <w:vAlign w:val="bottom"/>
            <w:hideMark/>
          </w:tcPr>
          <w:p w14:paraId="108DCE48"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79</w:t>
            </w:r>
          </w:p>
        </w:tc>
        <w:tc>
          <w:tcPr>
            <w:tcW w:w="369" w:type="pct"/>
            <w:tcBorders>
              <w:top w:val="nil"/>
              <w:left w:val="nil"/>
              <w:bottom w:val="single" w:sz="4" w:space="0" w:color="auto"/>
              <w:right w:val="single" w:sz="4" w:space="0" w:color="auto"/>
            </w:tcBorders>
            <w:shd w:val="clear" w:color="auto" w:fill="auto"/>
            <w:noWrap/>
            <w:vAlign w:val="bottom"/>
            <w:hideMark/>
          </w:tcPr>
          <w:p w14:paraId="2B2F5BBA"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77</w:t>
            </w:r>
          </w:p>
        </w:tc>
        <w:tc>
          <w:tcPr>
            <w:tcW w:w="432" w:type="pct"/>
            <w:tcBorders>
              <w:top w:val="nil"/>
              <w:left w:val="nil"/>
              <w:bottom w:val="single" w:sz="4" w:space="0" w:color="auto"/>
              <w:right w:val="single" w:sz="4" w:space="0" w:color="auto"/>
            </w:tcBorders>
            <w:shd w:val="clear" w:color="auto" w:fill="auto"/>
            <w:noWrap/>
            <w:vAlign w:val="bottom"/>
            <w:hideMark/>
          </w:tcPr>
          <w:p w14:paraId="52DEB18E"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74</w:t>
            </w:r>
          </w:p>
        </w:tc>
        <w:tc>
          <w:tcPr>
            <w:tcW w:w="432" w:type="pct"/>
            <w:tcBorders>
              <w:top w:val="nil"/>
              <w:left w:val="nil"/>
              <w:bottom w:val="single" w:sz="4" w:space="0" w:color="auto"/>
              <w:right w:val="single" w:sz="4" w:space="0" w:color="auto"/>
            </w:tcBorders>
            <w:shd w:val="clear" w:color="auto" w:fill="auto"/>
            <w:noWrap/>
            <w:vAlign w:val="bottom"/>
            <w:hideMark/>
          </w:tcPr>
          <w:p w14:paraId="444E7D43"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77</w:t>
            </w:r>
          </w:p>
        </w:tc>
        <w:tc>
          <w:tcPr>
            <w:tcW w:w="431" w:type="pct"/>
            <w:tcBorders>
              <w:top w:val="nil"/>
              <w:left w:val="nil"/>
              <w:bottom w:val="single" w:sz="4" w:space="0" w:color="auto"/>
              <w:right w:val="single" w:sz="4" w:space="0" w:color="auto"/>
            </w:tcBorders>
            <w:shd w:val="clear" w:color="auto" w:fill="auto"/>
            <w:noWrap/>
            <w:vAlign w:val="bottom"/>
            <w:hideMark/>
          </w:tcPr>
          <w:p w14:paraId="122843AB"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75</w:t>
            </w:r>
          </w:p>
        </w:tc>
        <w:tc>
          <w:tcPr>
            <w:tcW w:w="368" w:type="pct"/>
            <w:tcBorders>
              <w:top w:val="nil"/>
              <w:left w:val="nil"/>
              <w:bottom w:val="single" w:sz="4" w:space="0" w:color="auto"/>
              <w:right w:val="single" w:sz="4" w:space="0" w:color="auto"/>
            </w:tcBorders>
            <w:shd w:val="clear" w:color="auto" w:fill="auto"/>
            <w:noWrap/>
            <w:vAlign w:val="bottom"/>
            <w:hideMark/>
          </w:tcPr>
          <w:p w14:paraId="2DB89FCF"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75</w:t>
            </w:r>
          </w:p>
        </w:tc>
        <w:tc>
          <w:tcPr>
            <w:tcW w:w="368" w:type="pct"/>
            <w:tcBorders>
              <w:top w:val="nil"/>
              <w:left w:val="nil"/>
              <w:bottom w:val="single" w:sz="4" w:space="0" w:color="auto"/>
              <w:right w:val="single" w:sz="4" w:space="0" w:color="auto"/>
            </w:tcBorders>
            <w:shd w:val="clear" w:color="auto" w:fill="auto"/>
            <w:noWrap/>
            <w:vAlign w:val="bottom"/>
            <w:hideMark/>
          </w:tcPr>
          <w:p w14:paraId="1ED793E1"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143</w:t>
            </w:r>
          </w:p>
        </w:tc>
        <w:tc>
          <w:tcPr>
            <w:tcW w:w="362" w:type="pct"/>
            <w:tcBorders>
              <w:top w:val="nil"/>
              <w:left w:val="nil"/>
              <w:bottom w:val="single" w:sz="4" w:space="0" w:color="auto"/>
              <w:right w:val="single" w:sz="4" w:space="0" w:color="auto"/>
            </w:tcBorders>
            <w:shd w:val="clear" w:color="auto" w:fill="auto"/>
            <w:noWrap/>
            <w:vAlign w:val="bottom"/>
            <w:hideMark/>
          </w:tcPr>
          <w:p w14:paraId="4F50E3BF"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134</w:t>
            </w:r>
          </w:p>
        </w:tc>
        <w:tc>
          <w:tcPr>
            <w:tcW w:w="360" w:type="pct"/>
            <w:tcBorders>
              <w:top w:val="nil"/>
              <w:left w:val="single" w:sz="4" w:space="0" w:color="auto"/>
              <w:bottom w:val="single" w:sz="4" w:space="0" w:color="auto"/>
              <w:right w:val="single" w:sz="4" w:space="0" w:color="auto"/>
            </w:tcBorders>
            <w:vAlign w:val="bottom"/>
          </w:tcPr>
          <w:p w14:paraId="6D3DFB63"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145</w:t>
            </w:r>
          </w:p>
        </w:tc>
        <w:tc>
          <w:tcPr>
            <w:tcW w:w="360" w:type="pct"/>
            <w:tcBorders>
              <w:top w:val="nil"/>
              <w:left w:val="single" w:sz="4" w:space="0" w:color="auto"/>
              <w:bottom w:val="single" w:sz="4" w:space="0" w:color="auto"/>
              <w:right w:val="single" w:sz="4" w:space="0" w:color="auto"/>
            </w:tcBorders>
            <w:vAlign w:val="bottom"/>
          </w:tcPr>
          <w:p w14:paraId="7DE1FF78"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213</w:t>
            </w:r>
          </w:p>
        </w:tc>
        <w:tc>
          <w:tcPr>
            <w:tcW w:w="358" w:type="pct"/>
            <w:tcBorders>
              <w:top w:val="nil"/>
              <w:left w:val="single" w:sz="4" w:space="0" w:color="auto"/>
              <w:bottom w:val="single" w:sz="4" w:space="0" w:color="auto"/>
              <w:right w:val="single" w:sz="12" w:space="0" w:color="auto"/>
            </w:tcBorders>
            <w:vAlign w:val="bottom"/>
          </w:tcPr>
          <w:p w14:paraId="62129E32"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147</w:t>
            </w:r>
          </w:p>
        </w:tc>
      </w:tr>
      <w:tr w:rsidR="00AA3A5F" w:rsidRPr="00B25A22" w14:paraId="2B92546D" w14:textId="77777777" w:rsidTr="007A68D5">
        <w:trPr>
          <w:trHeight w:val="232"/>
        </w:trPr>
        <w:tc>
          <w:tcPr>
            <w:tcW w:w="755" w:type="pct"/>
            <w:tcBorders>
              <w:top w:val="nil"/>
              <w:left w:val="single" w:sz="12" w:space="0" w:color="auto"/>
              <w:bottom w:val="single" w:sz="4" w:space="0" w:color="auto"/>
              <w:right w:val="single" w:sz="8" w:space="0" w:color="auto"/>
            </w:tcBorders>
            <w:shd w:val="clear" w:color="auto" w:fill="auto"/>
            <w:noWrap/>
            <w:vAlign w:val="bottom"/>
            <w:hideMark/>
          </w:tcPr>
          <w:p w14:paraId="19B367CB" w14:textId="77777777" w:rsidR="00AA3A5F" w:rsidRPr="00B25A22" w:rsidRDefault="00AA3A5F" w:rsidP="007A68D5">
            <w:pPr>
              <w:jc w:val="right"/>
              <w:rPr>
                <w:rFonts w:cs="Times New Roman"/>
                <w:b/>
                <w:bCs/>
                <w:sz w:val="20"/>
                <w:szCs w:val="20"/>
                <w:lang w:val="cs-CZ"/>
              </w:rPr>
            </w:pPr>
            <w:r w:rsidRPr="00B25A22">
              <w:rPr>
                <w:rFonts w:cs="Times New Roman"/>
                <w:b/>
                <w:bCs/>
                <w:sz w:val="20"/>
                <w:szCs w:val="20"/>
                <w:lang w:val="cs-CZ"/>
              </w:rPr>
              <w:t>ostatní</w:t>
            </w:r>
          </w:p>
        </w:tc>
        <w:tc>
          <w:tcPr>
            <w:tcW w:w="405" w:type="pct"/>
            <w:tcBorders>
              <w:top w:val="nil"/>
              <w:left w:val="single" w:sz="8" w:space="0" w:color="auto"/>
              <w:bottom w:val="single" w:sz="4" w:space="0" w:color="auto"/>
              <w:right w:val="single" w:sz="4" w:space="0" w:color="auto"/>
            </w:tcBorders>
            <w:shd w:val="clear" w:color="auto" w:fill="auto"/>
            <w:noWrap/>
            <w:vAlign w:val="bottom"/>
            <w:hideMark/>
          </w:tcPr>
          <w:p w14:paraId="12A19E02"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220</w:t>
            </w:r>
          </w:p>
        </w:tc>
        <w:tc>
          <w:tcPr>
            <w:tcW w:w="369" w:type="pct"/>
            <w:tcBorders>
              <w:top w:val="nil"/>
              <w:left w:val="nil"/>
              <w:bottom w:val="single" w:sz="4" w:space="0" w:color="auto"/>
              <w:right w:val="single" w:sz="4" w:space="0" w:color="auto"/>
            </w:tcBorders>
            <w:shd w:val="clear" w:color="auto" w:fill="auto"/>
            <w:noWrap/>
            <w:vAlign w:val="bottom"/>
            <w:hideMark/>
          </w:tcPr>
          <w:p w14:paraId="5D375C3C"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211</w:t>
            </w:r>
          </w:p>
        </w:tc>
        <w:tc>
          <w:tcPr>
            <w:tcW w:w="432" w:type="pct"/>
            <w:tcBorders>
              <w:top w:val="nil"/>
              <w:left w:val="nil"/>
              <w:bottom w:val="single" w:sz="4" w:space="0" w:color="auto"/>
              <w:right w:val="single" w:sz="4" w:space="0" w:color="auto"/>
            </w:tcBorders>
            <w:shd w:val="clear" w:color="auto" w:fill="auto"/>
            <w:noWrap/>
            <w:vAlign w:val="bottom"/>
            <w:hideMark/>
          </w:tcPr>
          <w:p w14:paraId="2FDA5BC4"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216</w:t>
            </w:r>
          </w:p>
        </w:tc>
        <w:tc>
          <w:tcPr>
            <w:tcW w:w="432" w:type="pct"/>
            <w:tcBorders>
              <w:top w:val="nil"/>
              <w:left w:val="nil"/>
              <w:bottom w:val="single" w:sz="4" w:space="0" w:color="auto"/>
              <w:right w:val="single" w:sz="4" w:space="0" w:color="auto"/>
            </w:tcBorders>
            <w:shd w:val="clear" w:color="auto" w:fill="auto"/>
            <w:noWrap/>
            <w:vAlign w:val="bottom"/>
            <w:hideMark/>
          </w:tcPr>
          <w:p w14:paraId="66FF2C3E"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220</w:t>
            </w:r>
          </w:p>
        </w:tc>
        <w:tc>
          <w:tcPr>
            <w:tcW w:w="431" w:type="pct"/>
            <w:tcBorders>
              <w:top w:val="nil"/>
              <w:left w:val="nil"/>
              <w:bottom w:val="single" w:sz="4" w:space="0" w:color="auto"/>
              <w:right w:val="single" w:sz="4" w:space="0" w:color="auto"/>
            </w:tcBorders>
            <w:shd w:val="clear" w:color="auto" w:fill="auto"/>
            <w:noWrap/>
            <w:vAlign w:val="bottom"/>
            <w:hideMark/>
          </w:tcPr>
          <w:p w14:paraId="66512FA5"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219</w:t>
            </w:r>
          </w:p>
        </w:tc>
        <w:tc>
          <w:tcPr>
            <w:tcW w:w="368" w:type="pct"/>
            <w:tcBorders>
              <w:top w:val="nil"/>
              <w:left w:val="nil"/>
              <w:bottom w:val="single" w:sz="4" w:space="0" w:color="auto"/>
              <w:right w:val="single" w:sz="4" w:space="0" w:color="auto"/>
            </w:tcBorders>
            <w:shd w:val="clear" w:color="auto" w:fill="auto"/>
            <w:noWrap/>
            <w:vAlign w:val="bottom"/>
            <w:hideMark/>
          </w:tcPr>
          <w:p w14:paraId="539DC713"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217</w:t>
            </w:r>
          </w:p>
        </w:tc>
        <w:tc>
          <w:tcPr>
            <w:tcW w:w="368" w:type="pct"/>
            <w:tcBorders>
              <w:top w:val="nil"/>
              <w:left w:val="nil"/>
              <w:bottom w:val="single" w:sz="4" w:space="0" w:color="auto"/>
              <w:right w:val="single" w:sz="4" w:space="0" w:color="auto"/>
            </w:tcBorders>
            <w:shd w:val="clear" w:color="auto" w:fill="auto"/>
            <w:noWrap/>
            <w:vAlign w:val="bottom"/>
            <w:hideMark/>
          </w:tcPr>
          <w:p w14:paraId="66EB0096"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170</w:t>
            </w:r>
          </w:p>
        </w:tc>
        <w:tc>
          <w:tcPr>
            <w:tcW w:w="362" w:type="pct"/>
            <w:tcBorders>
              <w:top w:val="nil"/>
              <w:left w:val="nil"/>
              <w:bottom w:val="single" w:sz="4" w:space="0" w:color="auto"/>
              <w:right w:val="single" w:sz="4" w:space="0" w:color="auto"/>
            </w:tcBorders>
            <w:shd w:val="clear" w:color="auto" w:fill="auto"/>
            <w:noWrap/>
            <w:vAlign w:val="bottom"/>
            <w:hideMark/>
          </w:tcPr>
          <w:p w14:paraId="60826EC7"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180</w:t>
            </w:r>
          </w:p>
        </w:tc>
        <w:tc>
          <w:tcPr>
            <w:tcW w:w="360" w:type="pct"/>
            <w:tcBorders>
              <w:top w:val="nil"/>
              <w:left w:val="single" w:sz="4" w:space="0" w:color="auto"/>
              <w:bottom w:val="single" w:sz="4" w:space="0" w:color="auto"/>
              <w:right w:val="single" w:sz="4" w:space="0" w:color="auto"/>
            </w:tcBorders>
            <w:vAlign w:val="bottom"/>
          </w:tcPr>
          <w:p w14:paraId="06E0C4E7"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177</w:t>
            </w:r>
          </w:p>
        </w:tc>
        <w:tc>
          <w:tcPr>
            <w:tcW w:w="360" w:type="pct"/>
            <w:tcBorders>
              <w:top w:val="nil"/>
              <w:left w:val="single" w:sz="4" w:space="0" w:color="auto"/>
              <w:bottom w:val="single" w:sz="4" w:space="0" w:color="auto"/>
              <w:right w:val="single" w:sz="4" w:space="0" w:color="auto"/>
            </w:tcBorders>
            <w:vAlign w:val="bottom"/>
          </w:tcPr>
          <w:p w14:paraId="77EE8803"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165</w:t>
            </w:r>
          </w:p>
        </w:tc>
        <w:tc>
          <w:tcPr>
            <w:tcW w:w="358" w:type="pct"/>
            <w:tcBorders>
              <w:top w:val="nil"/>
              <w:left w:val="single" w:sz="4" w:space="0" w:color="auto"/>
              <w:bottom w:val="single" w:sz="4" w:space="0" w:color="auto"/>
              <w:right w:val="single" w:sz="12" w:space="0" w:color="auto"/>
            </w:tcBorders>
            <w:vAlign w:val="bottom"/>
          </w:tcPr>
          <w:p w14:paraId="14E4E0D7"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12*</w:t>
            </w:r>
          </w:p>
        </w:tc>
      </w:tr>
      <w:tr w:rsidR="00AA3A5F" w:rsidRPr="00B25A22" w14:paraId="56C766FE" w14:textId="77777777" w:rsidTr="007A68D5">
        <w:trPr>
          <w:trHeight w:val="94"/>
        </w:trPr>
        <w:tc>
          <w:tcPr>
            <w:tcW w:w="755" w:type="pct"/>
            <w:tcBorders>
              <w:top w:val="nil"/>
              <w:left w:val="single" w:sz="12" w:space="0" w:color="auto"/>
              <w:bottom w:val="single" w:sz="12" w:space="0" w:color="auto"/>
              <w:right w:val="single" w:sz="8" w:space="0" w:color="auto"/>
            </w:tcBorders>
            <w:shd w:val="clear" w:color="auto" w:fill="auto"/>
            <w:noWrap/>
            <w:vAlign w:val="bottom"/>
            <w:hideMark/>
          </w:tcPr>
          <w:p w14:paraId="27BD958B" w14:textId="77777777" w:rsidR="00AA3A5F" w:rsidRPr="00B25A22" w:rsidRDefault="00AA3A5F" w:rsidP="007A68D5">
            <w:pPr>
              <w:jc w:val="right"/>
              <w:rPr>
                <w:rFonts w:cs="Times New Roman"/>
                <w:b/>
                <w:bCs/>
                <w:lang w:val="cs-CZ"/>
              </w:rPr>
            </w:pPr>
            <w:r w:rsidRPr="00B25A22">
              <w:rPr>
                <w:rFonts w:cs="Times New Roman"/>
                <w:b/>
                <w:bCs/>
                <w:sz w:val="22"/>
                <w:lang w:val="cs-CZ"/>
              </w:rPr>
              <w:t>CELKEM</w:t>
            </w:r>
          </w:p>
        </w:tc>
        <w:tc>
          <w:tcPr>
            <w:tcW w:w="405" w:type="pct"/>
            <w:tcBorders>
              <w:top w:val="nil"/>
              <w:left w:val="single" w:sz="8" w:space="0" w:color="auto"/>
              <w:bottom w:val="single" w:sz="12" w:space="0" w:color="auto"/>
              <w:right w:val="single" w:sz="4" w:space="0" w:color="auto"/>
            </w:tcBorders>
            <w:shd w:val="clear" w:color="auto" w:fill="auto"/>
            <w:noWrap/>
            <w:vAlign w:val="bottom"/>
            <w:hideMark/>
          </w:tcPr>
          <w:p w14:paraId="2F1EB4F6" w14:textId="77777777" w:rsidR="00AA3A5F" w:rsidRPr="00B25A22" w:rsidRDefault="00AA3A5F" w:rsidP="007A68D5">
            <w:pPr>
              <w:jc w:val="right"/>
              <w:rPr>
                <w:rFonts w:cs="Times New Roman"/>
                <w:lang w:val="cs-CZ"/>
              </w:rPr>
            </w:pPr>
            <w:r w:rsidRPr="00B25A22">
              <w:rPr>
                <w:rFonts w:cs="Times New Roman"/>
                <w:sz w:val="22"/>
                <w:lang w:val="cs-CZ"/>
              </w:rPr>
              <w:t>477</w:t>
            </w:r>
          </w:p>
        </w:tc>
        <w:tc>
          <w:tcPr>
            <w:tcW w:w="369" w:type="pct"/>
            <w:tcBorders>
              <w:top w:val="nil"/>
              <w:left w:val="nil"/>
              <w:bottom w:val="single" w:sz="12" w:space="0" w:color="auto"/>
              <w:right w:val="single" w:sz="4" w:space="0" w:color="auto"/>
            </w:tcBorders>
            <w:shd w:val="clear" w:color="auto" w:fill="auto"/>
            <w:noWrap/>
            <w:vAlign w:val="bottom"/>
            <w:hideMark/>
          </w:tcPr>
          <w:p w14:paraId="48111570" w14:textId="77777777" w:rsidR="00AA3A5F" w:rsidRPr="00B25A22" w:rsidRDefault="00AA3A5F" w:rsidP="007A68D5">
            <w:pPr>
              <w:jc w:val="right"/>
              <w:rPr>
                <w:rFonts w:cs="Times New Roman"/>
                <w:lang w:val="cs-CZ"/>
              </w:rPr>
            </w:pPr>
            <w:r w:rsidRPr="00B25A22">
              <w:rPr>
                <w:rFonts w:cs="Times New Roman"/>
                <w:sz w:val="22"/>
                <w:lang w:val="cs-CZ"/>
              </w:rPr>
              <w:t>462</w:t>
            </w:r>
          </w:p>
        </w:tc>
        <w:tc>
          <w:tcPr>
            <w:tcW w:w="432" w:type="pct"/>
            <w:tcBorders>
              <w:top w:val="nil"/>
              <w:left w:val="nil"/>
              <w:bottom w:val="single" w:sz="12" w:space="0" w:color="auto"/>
              <w:right w:val="single" w:sz="4" w:space="0" w:color="auto"/>
            </w:tcBorders>
            <w:shd w:val="clear" w:color="auto" w:fill="auto"/>
            <w:noWrap/>
            <w:vAlign w:val="bottom"/>
            <w:hideMark/>
          </w:tcPr>
          <w:p w14:paraId="52703BE2" w14:textId="77777777" w:rsidR="00AA3A5F" w:rsidRPr="00B25A22" w:rsidRDefault="00AA3A5F" w:rsidP="007A68D5">
            <w:pPr>
              <w:jc w:val="right"/>
              <w:rPr>
                <w:rFonts w:cs="Times New Roman"/>
                <w:lang w:val="cs-CZ"/>
              </w:rPr>
            </w:pPr>
            <w:r w:rsidRPr="00B25A22">
              <w:rPr>
                <w:rFonts w:cs="Times New Roman"/>
                <w:sz w:val="22"/>
                <w:lang w:val="cs-CZ"/>
              </w:rPr>
              <w:t>466</w:t>
            </w:r>
          </w:p>
        </w:tc>
        <w:tc>
          <w:tcPr>
            <w:tcW w:w="432" w:type="pct"/>
            <w:tcBorders>
              <w:top w:val="nil"/>
              <w:left w:val="nil"/>
              <w:bottom w:val="single" w:sz="12" w:space="0" w:color="auto"/>
              <w:right w:val="single" w:sz="4" w:space="0" w:color="auto"/>
            </w:tcBorders>
            <w:shd w:val="clear" w:color="auto" w:fill="auto"/>
            <w:noWrap/>
            <w:vAlign w:val="bottom"/>
            <w:hideMark/>
          </w:tcPr>
          <w:p w14:paraId="36B630E8" w14:textId="77777777" w:rsidR="00AA3A5F" w:rsidRPr="00B25A22" w:rsidRDefault="00AA3A5F" w:rsidP="007A68D5">
            <w:pPr>
              <w:jc w:val="right"/>
              <w:rPr>
                <w:rFonts w:cs="Times New Roman"/>
                <w:lang w:val="cs-CZ"/>
              </w:rPr>
            </w:pPr>
            <w:r w:rsidRPr="00B25A22">
              <w:rPr>
                <w:rFonts w:cs="Times New Roman"/>
                <w:sz w:val="22"/>
                <w:lang w:val="cs-CZ"/>
              </w:rPr>
              <w:t>469</w:t>
            </w:r>
          </w:p>
        </w:tc>
        <w:tc>
          <w:tcPr>
            <w:tcW w:w="431" w:type="pct"/>
            <w:tcBorders>
              <w:top w:val="nil"/>
              <w:left w:val="nil"/>
              <w:bottom w:val="single" w:sz="12" w:space="0" w:color="auto"/>
              <w:right w:val="single" w:sz="4" w:space="0" w:color="auto"/>
            </w:tcBorders>
            <w:shd w:val="clear" w:color="auto" w:fill="auto"/>
            <w:noWrap/>
            <w:vAlign w:val="bottom"/>
            <w:hideMark/>
          </w:tcPr>
          <w:p w14:paraId="067F0C07" w14:textId="77777777" w:rsidR="00AA3A5F" w:rsidRPr="00B25A22" w:rsidRDefault="00AA3A5F" w:rsidP="007A68D5">
            <w:pPr>
              <w:jc w:val="right"/>
              <w:rPr>
                <w:rFonts w:cs="Times New Roman"/>
                <w:lang w:val="cs-CZ"/>
              </w:rPr>
            </w:pPr>
            <w:r w:rsidRPr="00B25A22">
              <w:rPr>
                <w:rFonts w:cs="Times New Roman"/>
                <w:sz w:val="22"/>
                <w:lang w:val="cs-CZ"/>
              </w:rPr>
              <w:t>466</w:t>
            </w:r>
          </w:p>
        </w:tc>
        <w:tc>
          <w:tcPr>
            <w:tcW w:w="368" w:type="pct"/>
            <w:tcBorders>
              <w:top w:val="nil"/>
              <w:left w:val="nil"/>
              <w:bottom w:val="single" w:sz="12" w:space="0" w:color="auto"/>
              <w:right w:val="single" w:sz="4" w:space="0" w:color="auto"/>
            </w:tcBorders>
            <w:shd w:val="clear" w:color="auto" w:fill="auto"/>
            <w:noWrap/>
            <w:vAlign w:val="bottom"/>
            <w:hideMark/>
          </w:tcPr>
          <w:p w14:paraId="52FD108E" w14:textId="77777777" w:rsidR="00AA3A5F" w:rsidRPr="00B25A22" w:rsidRDefault="00AA3A5F" w:rsidP="007A68D5">
            <w:pPr>
              <w:jc w:val="right"/>
              <w:rPr>
                <w:rFonts w:cs="Times New Roman"/>
                <w:lang w:val="cs-CZ"/>
              </w:rPr>
            </w:pPr>
            <w:r w:rsidRPr="00B25A22">
              <w:rPr>
                <w:rFonts w:cs="Times New Roman"/>
                <w:sz w:val="22"/>
                <w:lang w:val="cs-CZ"/>
              </w:rPr>
              <w:t>463</w:t>
            </w:r>
          </w:p>
        </w:tc>
        <w:tc>
          <w:tcPr>
            <w:tcW w:w="368" w:type="pct"/>
            <w:tcBorders>
              <w:top w:val="nil"/>
              <w:left w:val="nil"/>
              <w:bottom w:val="single" w:sz="12" w:space="0" w:color="auto"/>
              <w:right w:val="single" w:sz="4" w:space="0" w:color="auto"/>
            </w:tcBorders>
            <w:shd w:val="clear" w:color="auto" w:fill="auto"/>
            <w:noWrap/>
            <w:vAlign w:val="bottom"/>
            <w:hideMark/>
          </w:tcPr>
          <w:p w14:paraId="5170F146" w14:textId="77777777" w:rsidR="00AA3A5F" w:rsidRPr="00B25A22" w:rsidRDefault="00AA3A5F" w:rsidP="007A68D5">
            <w:pPr>
              <w:jc w:val="right"/>
              <w:rPr>
                <w:rFonts w:cs="Times New Roman"/>
                <w:lang w:val="cs-CZ"/>
              </w:rPr>
            </w:pPr>
            <w:r w:rsidRPr="00B25A22">
              <w:rPr>
                <w:rFonts w:cs="Times New Roman"/>
                <w:sz w:val="22"/>
                <w:lang w:val="cs-CZ"/>
              </w:rPr>
              <w:t>498</w:t>
            </w:r>
          </w:p>
        </w:tc>
        <w:tc>
          <w:tcPr>
            <w:tcW w:w="362" w:type="pct"/>
            <w:tcBorders>
              <w:top w:val="nil"/>
              <w:left w:val="nil"/>
              <w:bottom w:val="single" w:sz="12" w:space="0" w:color="auto"/>
              <w:right w:val="single" w:sz="4" w:space="0" w:color="auto"/>
            </w:tcBorders>
            <w:shd w:val="clear" w:color="auto" w:fill="auto"/>
            <w:noWrap/>
            <w:vAlign w:val="bottom"/>
            <w:hideMark/>
          </w:tcPr>
          <w:p w14:paraId="74E4F486"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502</w:t>
            </w:r>
          </w:p>
        </w:tc>
        <w:tc>
          <w:tcPr>
            <w:tcW w:w="360" w:type="pct"/>
            <w:tcBorders>
              <w:top w:val="nil"/>
              <w:left w:val="single" w:sz="4" w:space="0" w:color="auto"/>
              <w:bottom w:val="single" w:sz="12" w:space="0" w:color="auto"/>
              <w:right w:val="single" w:sz="4" w:space="0" w:color="auto"/>
            </w:tcBorders>
            <w:vAlign w:val="bottom"/>
          </w:tcPr>
          <w:p w14:paraId="0E85C0AE"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521</w:t>
            </w:r>
          </w:p>
        </w:tc>
        <w:tc>
          <w:tcPr>
            <w:tcW w:w="360" w:type="pct"/>
            <w:tcBorders>
              <w:top w:val="nil"/>
              <w:left w:val="single" w:sz="4" w:space="0" w:color="auto"/>
              <w:bottom w:val="single" w:sz="12" w:space="0" w:color="auto"/>
              <w:right w:val="single" w:sz="4" w:space="0" w:color="auto"/>
            </w:tcBorders>
            <w:vAlign w:val="bottom"/>
          </w:tcPr>
          <w:p w14:paraId="3C3D7A66"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610</w:t>
            </w:r>
          </w:p>
        </w:tc>
        <w:tc>
          <w:tcPr>
            <w:tcW w:w="358" w:type="pct"/>
            <w:tcBorders>
              <w:top w:val="nil"/>
              <w:left w:val="single" w:sz="4" w:space="0" w:color="auto"/>
              <w:bottom w:val="single" w:sz="12" w:space="0" w:color="auto"/>
              <w:right w:val="single" w:sz="12" w:space="0" w:color="auto"/>
            </w:tcBorders>
            <w:vAlign w:val="bottom"/>
          </w:tcPr>
          <w:p w14:paraId="1D8D74D2" w14:textId="77777777" w:rsidR="00AA3A5F" w:rsidRPr="00B25A22" w:rsidRDefault="00AA3A5F" w:rsidP="007A68D5">
            <w:pPr>
              <w:spacing w:line="240" w:lineRule="atLeast"/>
              <w:jc w:val="right"/>
              <w:rPr>
                <w:rFonts w:cs="Times New Roman"/>
                <w:sz w:val="20"/>
                <w:szCs w:val="20"/>
                <w:lang w:val="cs-CZ"/>
              </w:rPr>
            </w:pPr>
            <w:r w:rsidRPr="00B25A22">
              <w:rPr>
                <w:rFonts w:cs="Times New Roman"/>
                <w:sz w:val="20"/>
                <w:szCs w:val="20"/>
                <w:lang w:val="cs-CZ"/>
              </w:rPr>
              <w:t>359</w:t>
            </w:r>
          </w:p>
        </w:tc>
      </w:tr>
    </w:tbl>
    <w:p w14:paraId="3AC6FBC9" w14:textId="77777777" w:rsidR="00AA3A5F" w:rsidRPr="00B25A22" w:rsidRDefault="00AA3A5F" w:rsidP="00DD69FE">
      <w:pPr>
        <w:pStyle w:val="UZEIZdroj"/>
        <w:spacing w:after="0"/>
      </w:pPr>
      <w:r w:rsidRPr="00B25A22">
        <w:t>Pramen: ZUČM</w:t>
      </w:r>
    </w:p>
    <w:p w14:paraId="7EB61BDE" w14:textId="77777777" w:rsidR="00AA3A5F" w:rsidRPr="00B25A22" w:rsidRDefault="00AA3A5F" w:rsidP="00DD69FE">
      <w:pPr>
        <w:pStyle w:val="UZEIZdroj"/>
        <w:spacing w:after="0"/>
      </w:pPr>
      <w:r w:rsidRPr="00B25A22">
        <w:t>Poznámka: V roce 2019 došlo ke změně metodiky šetření.</w:t>
      </w:r>
    </w:p>
    <w:p w14:paraId="2B58094A" w14:textId="77777777" w:rsidR="00AA3A5F" w:rsidRPr="00B25A22" w:rsidRDefault="00AA3A5F" w:rsidP="00AA3A5F">
      <w:pPr>
        <w:spacing w:line="240" w:lineRule="atLeast"/>
        <w:rPr>
          <w:rFonts w:cs="Times New Roman"/>
          <w:sz w:val="18"/>
          <w:szCs w:val="18"/>
          <w:lang w:val="cs-CZ"/>
        </w:rPr>
      </w:pPr>
    </w:p>
    <w:p w14:paraId="6B691640" w14:textId="2CDE6DC2" w:rsidR="00AA3A5F" w:rsidRDefault="00AA3A5F" w:rsidP="00AA3A5F">
      <w:pPr>
        <w:spacing w:line="300" w:lineRule="atLeast"/>
        <w:rPr>
          <w:rFonts w:cs="Times New Roman"/>
          <w:sz w:val="22"/>
          <w:lang w:val="cs-CZ"/>
        </w:rPr>
      </w:pPr>
    </w:p>
    <w:p w14:paraId="6C257BDF" w14:textId="750E1664" w:rsidR="00B25A22" w:rsidRDefault="00B25A22" w:rsidP="00AA3A5F">
      <w:pPr>
        <w:spacing w:line="300" w:lineRule="atLeast"/>
        <w:rPr>
          <w:rFonts w:cs="Times New Roman"/>
          <w:sz w:val="22"/>
          <w:lang w:val="cs-CZ"/>
        </w:rPr>
      </w:pPr>
    </w:p>
    <w:p w14:paraId="387DE840" w14:textId="77777777" w:rsidR="00B25A22" w:rsidRPr="00B25A22" w:rsidRDefault="00B25A22" w:rsidP="00AA3A5F">
      <w:pPr>
        <w:spacing w:line="300" w:lineRule="atLeast"/>
        <w:rPr>
          <w:rFonts w:cs="Times New Roman"/>
          <w:sz w:val="22"/>
          <w:lang w:val="cs-CZ"/>
        </w:rPr>
      </w:pPr>
    </w:p>
    <w:p w14:paraId="39878232" w14:textId="74178C92" w:rsidR="00AA3A5F" w:rsidRPr="00B25A22" w:rsidRDefault="00AA3A5F" w:rsidP="00B25A22">
      <w:pPr>
        <w:pStyle w:val="UZEITaB"/>
      </w:pPr>
      <w:bookmarkStart w:id="36" w:name="_Toc81743444"/>
      <w:r w:rsidRPr="00B25A22">
        <w:t>Vývoj produkce uvedené organizacemi producentů a celkové produkce ČR – ovoce a zelenina</w:t>
      </w:r>
      <w:bookmarkEnd w:id="36"/>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8"/>
        <w:gridCol w:w="620"/>
        <w:gridCol w:w="867"/>
        <w:gridCol w:w="690"/>
        <w:gridCol w:w="690"/>
        <w:gridCol w:w="765"/>
        <w:gridCol w:w="781"/>
        <w:gridCol w:w="781"/>
        <w:gridCol w:w="690"/>
        <w:gridCol w:w="690"/>
      </w:tblGrid>
      <w:tr w:rsidR="00AA3A5F" w:rsidRPr="00B25A22" w14:paraId="1D739898" w14:textId="77777777" w:rsidTr="007A68D5">
        <w:trPr>
          <w:trHeight w:val="600"/>
        </w:trPr>
        <w:tc>
          <w:tcPr>
            <w:tcW w:w="1365" w:type="pct"/>
            <w:shd w:val="clear" w:color="auto" w:fill="auto"/>
            <w:noWrap/>
            <w:vAlign w:val="bottom"/>
            <w:hideMark/>
          </w:tcPr>
          <w:p w14:paraId="1E9A9634"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Ukazatel</w:t>
            </w:r>
          </w:p>
        </w:tc>
        <w:tc>
          <w:tcPr>
            <w:tcW w:w="348" w:type="pct"/>
            <w:shd w:val="clear" w:color="auto" w:fill="auto"/>
            <w:noWrap/>
            <w:vAlign w:val="bottom"/>
            <w:hideMark/>
          </w:tcPr>
          <w:p w14:paraId="2B80FACB"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MJ</w:t>
            </w:r>
          </w:p>
        </w:tc>
        <w:tc>
          <w:tcPr>
            <w:tcW w:w="484" w:type="pct"/>
            <w:shd w:val="clear" w:color="auto" w:fill="auto"/>
            <w:vAlign w:val="bottom"/>
            <w:hideMark/>
          </w:tcPr>
          <w:p w14:paraId="0E22168A"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průměr 2009-2011</w:t>
            </w:r>
          </w:p>
        </w:tc>
        <w:tc>
          <w:tcPr>
            <w:tcW w:w="385" w:type="pct"/>
            <w:shd w:val="clear" w:color="auto" w:fill="auto"/>
            <w:noWrap/>
            <w:vAlign w:val="bottom"/>
            <w:hideMark/>
          </w:tcPr>
          <w:p w14:paraId="4CC768F9"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2012</w:t>
            </w:r>
          </w:p>
        </w:tc>
        <w:tc>
          <w:tcPr>
            <w:tcW w:w="385" w:type="pct"/>
            <w:shd w:val="clear" w:color="auto" w:fill="auto"/>
            <w:noWrap/>
            <w:vAlign w:val="bottom"/>
            <w:hideMark/>
          </w:tcPr>
          <w:p w14:paraId="1913052E"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2013</w:t>
            </w:r>
          </w:p>
        </w:tc>
        <w:tc>
          <w:tcPr>
            <w:tcW w:w="428" w:type="pct"/>
            <w:shd w:val="clear" w:color="auto" w:fill="auto"/>
            <w:noWrap/>
            <w:vAlign w:val="bottom"/>
            <w:hideMark/>
          </w:tcPr>
          <w:p w14:paraId="09BA7EB2"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2014</w:t>
            </w:r>
          </w:p>
        </w:tc>
        <w:tc>
          <w:tcPr>
            <w:tcW w:w="436" w:type="pct"/>
            <w:shd w:val="clear" w:color="auto" w:fill="auto"/>
            <w:noWrap/>
            <w:vAlign w:val="bottom"/>
            <w:hideMark/>
          </w:tcPr>
          <w:p w14:paraId="529B22FE"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2015</w:t>
            </w:r>
          </w:p>
        </w:tc>
        <w:tc>
          <w:tcPr>
            <w:tcW w:w="436" w:type="pct"/>
            <w:shd w:val="clear" w:color="auto" w:fill="auto"/>
            <w:noWrap/>
            <w:vAlign w:val="bottom"/>
            <w:hideMark/>
          </w:tcPr>
          <w:p w14:paraId="249A4A2F"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2016</w:t>
            </w:r>
          </w:p>
        </w:tc>
        <w:tc>
          <w:tcPr>
            <w:tcW w:w="385" w:type="pct"/>
            <w:shd w:val="clear" w:color="auto" w:fill="auto"/>
            <w:noWrap/>
            <w:vAlign w:val="bottom"/>
            <w:hideMark/>
          </w:tcPr>
          <w:p w14:paraId="4E1CB3BB"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2017</w:t>
            </w:r>
          </w:p>
        </w:tc>
        <w:tc>
          <w:tcPr>
            <w:tcW w:w="348" w:type="pct"/>
            <w:vAlign w:val="bottom"/>
          </w:tcPr>
          <w:p w14:paraId="3E27F1CA"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2018</w:t>
            </w:r>
          </w:p>
        </w:tc>
      </w:tr>
      <w:tr w:rsidR="00AA3A5F" w:rsidRPr="00B25A22" w14:paraId="22BFDF78" w14:textId="77777777" w:rsidTr="007A68D5">
        <w:trPr>
          <w:trHeight w:val="300"/>
        </w:trPr>
        <w:tc>
          <w:tcPr>
            <w:tcW w:w="1365" w:type="pct"/>
            <w:shd w:val="clear" w:color="auto" w:fill="auto"/>
            <w:noWrap/>
            <w:vAlign w:val="bottom"/>
            <w:hideMark/>
          </w:tcPr>
          <w:p w14:paraId="76B1BA42"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Produkce uvedená na trh OP</w:t>
            </w:r>
          </w:p>
        </w:tc>
        <w:tc>
          <w:tcPr>
            <w:tcW w:w="348" w:type="pct"/>
            <w:shd w:val="clear" w:color="auto" w:fill="auto"/>
            <w:noWrap/>
            <w:vAlign w:val="bottom"/>
            <w:hideMark/>
          </w:tcPr>
          <w:p w14:paraId="1B437B47"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tis. t</w:t>
            </w:r>
          </w:p>
        </w:tc>
        <w:tc>
          <w:tcPr>
            <w:tcW w:w="484" w:type="pct"/>
            <w:shd w:val="clear" w:color="auto" w:fill="auto"/>
            <w:noWrap/>
            <w:vAlign w:val="bottom"/>
            <w:hideMark/>
          </w:tcPr>
          <w:p w14:paraId="06DD0BAB"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131,40</w:t>
            </w:r>
          </w:p>
        </w:tc>
        <w:tc>
          <w:tcPr>
            <w:tcW w:w="385" w:type="pct"/>
            <w:shd w:val="clear" w:color="auto" w:fill="auto"/>
            <w:noWrap/>
            <w:vAlign w:val="bottom"/>
            <w:hideMark/>
          </w:tcPr>
          <w:p w14:paraId="69154D6D"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143,43</w:t>
            </w:r>
          </w:p>
        </w:tc>
        <w:tc>
          <w:tcPr>
            <w:tcW w:w="385" w:type="pct"/>
            <w:shd w:val="clear" w:color="auto" w:fill="auto"/>
            <w:noWrap/>
            <w:vAlign w:val="bottom"/>
            <w:hideMark/>
          </w:tcPr>
          <w:p w14:paraId="7148322D"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146,21</w:t>
            </w:r>
          </w:p>
        </w:tc>
        <w:tc>
          <w:tcPr>
            <w:tcW w:w="428" w:type="pct"/>
            <w:shd w:val="clear" w:color="auto" w:fill="auto"/>
            <w:noWrap/>
            <w:vAlign w:val="bottom"/>
            <w:hideMark/>
          </w:tcPr>
          <w:p w14:paraId="79B9D18B"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212,59</w:t>
            </w:r>
          </w:p>
        </w:tc>
        <w:tc>
          <w:tcPr>
            <w:tcW w:w="436" w:type="pct"/>
            <w:shd w:val="clear" w:color="auto" w:fill="auto"/>
            <w:noWrap/>
            <w:vAlign w:val="bottom"/>
            <w:hideMark/>
          </w:tcPr>
          <w:p w14:paraId="68A8C298"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216,22</w:t>
            </w:r>
          </w:p>
        </w:tc>
        <w:tc>
          <w:tcPr>
            <w:tcW w:w="436" w:type="pct"/>
            <w:shd w:val="clear" w:color="auto" w:fill="auto"/>
            <w:noWrap/>
            <w:vAlign w:val="bottom"/>
            <w:hideMark/>
          </w:tcPr>
          <w:p w14:paraId="2D3E4039"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243,65</w:t>
            </w:r>
          </w:p>
        </w:tc>
        <w:tc>
          <w:tcPr>
            <w:tcW w:w="385" w:type="pct"/>
            <w:shd w:val="clear" w:color="auto" w:fill="auto"/>
            <w:noWrap/>
            <w:vAlign w:val="bottom"/>
            <w:hideMark/>
          </w:tcPr>
          <w:p w14:paraId="48329FFA"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246,87</w:t>
            </w:r>
          </w:p>
        </w:tc>
        <w:tc>
          <w:tcPr>
            <w:tcW w:w="348" w:type="pct"/>
            <w:vAlign w:val="bottom"/>
          </w:tcPr>
          <w:p w14:paraId="5930086B"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254,46</w:t>
            </w:r>
          </w:p>
        </w:tc>
      </w:tr>
      <w:tr w:rsidR="00AA3A5F" w:rsidRPr="00B25A22" w14:paraId="3A29CEBE" w14:textId="77777777" w:rsidTr="007A68D5">
        <w:trPr>
          <w:trHeight w:val="300"/>
        </w:trPr>
        <w:tc>
          <w:tcPr>
            <w:tcW w:w="1365" w:type="pct"/>
            <w:shd w:val="clear" w:color="auto" w:fill="auto"/>
            <w:noWrap/>
            <w:vAlign w:val="bottom"/>
            <w:hideMark/>
          </w:tcPr>
          <w:p w14:paraId="35ECB5F7"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Produkce ČR</w:t>
            </w:r>
          </w:p>
        </w:tc>
        <w:tc>
          <w:tcPr>
            <w:tcW w:w="348" w:type="pct"/>
            <w:shd w:val="clear" w:color="auto" w:fill="auto"/>
            <w:noWrap/>
            <w:vAlign w:val="bottom"/>
            <w:hideMark/>
          </w:tcPr>
          <w:p w14:paraId="550DA77C"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tis. t</w:t>
            </w:r>
          </w:p>
        </w:tc>
        <w:tc>
          <w:tcPr>
            <w:tcW w:w="484" w:type="pct"/>
            <w:shd w:val="clear" w:color="auto" w:fill="auto"/>
            <w:noWrap/>
            <w:vAlign w:val="bottom"/>
            <w:hideMark/>
          </w:tcPr>
          <w:p w14:paraId="07DF2953"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579,70</w:t>
            </w:r>
          </w:p>
        </w:tc>
        <w:tc>
          <w:tcPr>
            <w:tcW w:w="385" w:type="pct"/>
            <w:shd w:val="clear" w:color="auto" w:fill="auto"/>
            <w:noWrap/>
            <w:vAlign w:val="bottom"/>
            <w:hideMark/>
          </w:tcPr>
          <w:p w14:paraId="17411080"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532,90</w:t>
            </w:r>
          </w:p>
        </w:tc>
        <w:tc>
          <w:tcPr>
            <w:tcW w:w="385" w:type="pct"/>
            <w:shd w:val="clear" w:color="auto" w:fill="auto"/>
            <w:noWrap/>
            <w:vAlign w:val="bottom"/>
            <w:hideMark/>
          </w:tcPr>
          <w:p w14:paraId="3622AC95"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551,10</w:t>
            </w:r>
          </w:p>
        </w:tc>
        <w:tc>
          <w:tcPr>
            <w:tcW w:w="428" w:type="pct"/>
            <w:shd w:val="clear" w:color="auto" w:fill="auto"/>
            <w:noWrap/>
            <w:vAlign w:val="bottom"/>
            <w:hideMark/>
          </w:tcPr>
          <w:p w14:paraId="6B439ECD"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619,20</w:t>
            </w:r>
          </w:p>
        </w:tc>
        <w:tc>
          <w:tcPr>
            <w:tcW w:w="436" w:type="pct"/>
            <w:shd w:val="clear" w:color="auto" w:fill="auto"/>
            <w:noWrap/>
            <w:vAlign w:val="bottom"/>
            <w:hideMark/>
          </w:tcPr>
          <w:p w14:paraId="1C30140A"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648,30</w:t>
            </w:r>
          </w:p>
        </w:tc>
        <w:tc>
          <w:tcPr>
            <w:tcW w:w="436" w:type="pct"/>
            <w:shd w:val="clear" w:color="auto" w:fill="auto"/>
            <w:noWrap/>
            <w:vAlign w:val="bottom"/>
            <w:hideMark/>
          </w:tcPr>
          <w:p w14:paraId="7B7D76F5"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617,50</w:t>
            </w:r>
          </w:p>
        </w:tc>
        <w:tc>
          <w:tcPr>
            <w:tcW w:w="385" w:type="pct"/>
            <w:shd w:val="clear" w:color="auto" w:fill="auto"/>
            <w:noWrap/>
            <w:vAlign w:val="bottom"/>
            <w:hideMark/>
          </w:tcPr>
          <w:p w14:paraId="17497F1B"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630,20</w:t>
            </w:r>
          </w:p>
        </w:tc>
        <w:tc>
          <w:tcPr>
            <w:tcW w:w="348" w:type="pct"/>
            <w:vAlign w:val="bottom"/>
          </w:tcPr>
          <w:p w14:paraId="799DEA13" w14:textId="77777777" w:rsidR="00AA3A5F" w:rsidRPr="00B25A22" w:rsidRDefault="00AA3A5F" w:rsidP="007A68D5">
            <w:pPr>
              <w:jc w:val="right"/>
              <w:rPr>
                <w:rFonts w:cs="Times New Roman"/>
                <w:sz w:val="20"/>
                <w:szCs w:val="20"/>
                <w:lang w:val="cs-CZ"/>
              </w:rPr>
            </w:pPr>
            <w:r w:rsidRPr="00B25A22">
              <w:rPr>
                <w:rFonts w:cs="Times New Roman"/>
                <w:sz w:val="20"/>
                <w:szCs w:val="20"/>
                <w:lang w:val="cs-CZ"/>
              </w:rPr>
              <w:t>583,1</w:t>
            </w:r>
          </w:p>
        </w:tc>
      </w:tr>
      <w:tr w:rsidR="00AA3A5F" w:rsidRPr="00B25A22" w14:paraId="277CF3B7" w14:textId="77777777" w:rsidTr="007A68D5">
        <w:trPr>
          <w:trHeight w:val="315"/>
        </w:trPr>
        <w:tc>
          <w:tcPr>
            <w:tcW w:w="1365" w:type="pct"/>
            <w:shd w:val="clear" w:color="auto" w:fill="auto"/>
            <w:noWrap/>
            <w:vAlign w:val="bottom"/>
            <w:hideMark/>
          </w:tcPr>
          <w:p w14:paraId="70ED21F7" w14:textId="77777777" w:rsidR="00AA3A5F" w:rsidRPr="00B25A22" w:rsidRDefault="00AA3A5F" w:rsidP="007A68D5">
            <w:pPr>
              <w:spacing w:after="60"/>
              <w:jc w:val="left"/>
              <w:rPr>
                <w:rFonts w:cs="Times New Roman"/>
                <w:sz w:val="20"/>
                <w:szCs w:val="20"/>
                <w:lang w:val="cs-CZ"/>
              </w:rPr>
            </w:pPr>
            <w:r w:rsidRPr="00B25A22">
              <w:rPr>
                <w:rFonts w:cs="Times New Roman"/>
                <w:sz w:val="20"/>
                <w:szCs w:val="20"/>
                <w:lang w:val="cs-CZ"/>
              </w:rPr>
              <w:t>Podíl produkce členů OP/ČR</w:t>
            </w:r>
          </w:p>
        </w:tc>
        <w:tc>
          <w:tcPr>
            <w:tcW w:w="348" w:type="pct"/>
            <w:shd w:val="clear" w:color="auto" w:fill="auto"/>
            <w:noWrap/>
            <w:vAlign w:val="bottom"/>
            <w:hideMark/>
          </w:tcPr>
          <w:p w14:paraId="543D03DB" w14:textId="77777777" w:rsidR="00AA3A5F" w:rsidRPr="00B25A22" w:rsidRDefault="00AA3A5F" w:rsidP="007A68D5">
            <w:pPr>
              <w:spacing w:after="60"/>
              <w:jc w:val="left"/>
              <w:rPr>
                <w:rFonts w:cs="Times New Roman"/>
                <w:sz w:val="20"/>
                <w:szCs w:val="20"/>
                <w:lang w:val="cs-CZ"/>
              </w:rPr>
            </w:pPr>
            <w:r w:rsidRPr="00B25A22">
              <w:rPr>
                <w:rFonts w:cs="Times New Roman"/>
                <w:sz w:val="20"/>
                <w:szCs w:val="20"/>
                <w:lang w:val="cs-CZ"/>
              </w:rPr>
              <w:t>%</w:t>
            </w:r>
          </w:p>
        </w:tc>
        <w:tc>
          <w:tcPr>
            <w:tcW w:w="484" w:type="pct"/>
            <w:shd w:val="clear" w:color="auto" w:fill="auto"/>
            <w:noWrap/>
            <w:vAlign w:val="bottom"/>
            <w:hideMark/>
          </w:tcPr>
          <w:p w14:paraId="43C9BD9A" w14:textId="77777777" w:rsidR="00AA3A5F" w:rsidRPr="00B25A22" w:rsidRDefault="00AA3A5F" w:rsidP="007A68D5">
            <w:pPr>
              <w:spacing w:after="60"/>
              <w:jc w:val="right"/>
              <w:rPr>
                <w:rFonts w:cs="Times New Roman"/>
                <w:sz w:val="20"/>
                <w:szCs w:val="20"/>
                <w:lang w:val="cs-CZ"/>
              </w:rPr>
            </w:pPr>
            <w:r w:rsidRPr="00B25A22">
              <w:rPr>
                <w:rFonts w:cs="Times New Roman"/>
                <w:sz w:val="20"/>
                <w:szCs w:val="20"/>
                <w:lang w:val="cs-CZ"/>
              </w:rPr>
              <w:t>22,7</w:t>
            </w:r>
          </w:p>
        </w:tc>
        <w:tc>
          <w:tcPr>
            <w:tcW w:w="385" w:type="pct"/>
            <w:shd w:val="clear" w:color="auto" w:fill="auto"/>
            <w:noWrap/>
            <w:vAlign w:val="bottom"/>
            <w:hideMark/>
          </w:tcPr>
          <w:p w14:paraId="2D7B9D01" w14:textId="77777777" w:rsidR="00AA3A5F" w:rsidRPr="00B25A22" w:rsidRDefault="00AA3A5F" w:rsidP="007A68D5">
            <w:pPr>
              <w:spacing w:after="60"/>
              <w:jc w:val="right"/>
              <w:rPr>
                <w:rFonts w:cs="Times New Roman"/>
                <w:sz w:val="20"/>
                <w:szCs w:val="20"/>
                <w:lang w:val="cs-CZ"/>
              </w:rPr>
            </w:pPr>
            <w:r w:rsidRPr="00B25A22">
              <w:rPr>
                <w:rFonts w:cs="Times New Roman"/>
                <w:sz w:val="20"/>
                <w:szCs w:val="20"/>
                <w:lang w:val="cs-CZ"/>
              </w:rPr>
              <w:t>26,9</w:t>
            </w:r>
          </w:p>
        </w:tc>
        <w:tc>
          <w:tcPr>
            <w:tcW w:w="385" w:type="pct"/>
            <w:shd w:val="clear" w:color="auto" w:fill="auto"/>
            <w:noWrap/>
            <w:vAlign w:val="bottom"/>
            <w:hideMark/>
          </w:tcPr>
          <w:p w14:paraId="7A4303F4" w14:textId="77777777" w:rsidR="00AA3A5F" w:rsidRPr="00B25A22" w:rsidRDefault="00AA3A5F" w:rsidP="007A68D5">
            <w:pPr>
              <w:spacing w:after="60"/>
              <w:jc w:val="right"/>
              <w:rPr>
                <w:rFonts w:cs="Times New Roman"/>
                <w:sz w:val="20"/>
                <w:szCs w:val="20"/>
                <w:lang w:val="cs-CZ"/>
              </w:rPr>
            </w:pPr>
            <w:r w:rsidRPr="00B25A22">
              <w:rPr>
                <w:rFonts w:cs="Times New Roman"/>
                <w:sz w:val="20"/>
                <w:szCs w:val="20"/>
                <w:lang w:val="cs-CZ"/>
              </w:rPr>
              <w:t>26,5</w:t>
            </w:r>
          </w:p>
        </w:tc>
        <w:tc>
          <w:tcPr>
            <w:tcW w:w="428" w:type="pct"/>
            <w:shd w:val="clear" w:color="auto" w:fill="auto"/>
            <w:noWrap/>
            <w:vAlign w:val="bottom"/>
            <w:hideMark/>
          </w:tcPr>
          <w:p w14:paraId="77FBAA9D" w14:textId="77777777" w:rsidR="00AA3A5F" w:rsidRPr="00B25A22" w:rsidRDefault="00AA3A5F" w:rsidP="007A68D5">
            <w:pPr>
              <w:spacing w:after="60"/>
              <w:jc w:val="right"/>
              <w:rPr>
                <w:rFonts w:cs="Times New Roman"/>
                <w:sz w:val="20"/>
                <w:szCs w:val="20"/>
                <w:lang w:val="cs-CZ"/>
              </w:rPr>
            </w:pPr>
            <w:r w:rsidRPr="00B25A22">
              <w:rPr>
                <w:rFonts w:cs="Times New Roman"/>
                <w:sz w:val="20"/>
                <w:szCs w:val="20"/>
                <w:lang w:val="cs-CZ"/>
              </w:rPr>
              <w:t>34,3</w:t>
            </w:r>
          </w:p>
        </w:tc>
        <w:tc>
          <w:tcPr>
            <w:tcW w:w="436" w:type="pct"/>
            <w:shd w:val="clear" w:color="auto" w:fill="auto"/>
            <w:noWrap/>
            <w:vAlign w:val="bottom"/>
            <w:hideMark/>
          </w:tcPr>
          <w:p w14:paraId="0CCD365C" w14:textId="77777777" w:rsidR="00AA3A5F" w:rsidRPr="00B25A22" w:rsidRDefault="00AA3A5F" w:rsidP="007A68D5">
            <w:pPr>
              <w:spacing w:after="60"/>
              <w:jc w:val="right"/>
              <w:rPr>
                <w:rFonts w:cs="Times New Roman"/>
                <w:sz w:val="20"/>
                <w:szCs w:val="20"/>
                <w:lang w:val="cs-CZ"/>
              </w:rPr>
            </w:pPr>
            <w:r w:rsidRPr="00B25A22">
              <w:rPr>
                <w:rFonts w:cs="Times New Roman"/>
                <w:sz w:val="20"/>
                <w:szCs w:val="20"/>
                <w:lang w:val="cs-CZ"/>
              </w:rPr>
              <w:t>33,4</w:t>
            </w:r>
          </w:p>
        </w:tc>
        <w:tc>
          <w:tcPr>
            <w:tcW w:w="436" w:type="pct"/>
            <w:shd w:val="clear" w:color="auto" w:fill="auto"/>
            <w:noWrap/>
            <w:vAlign w:val="bottom"/>
            <w:hideMark/>
          </w:tcPr>
          <w:p w14:paraId="37AB1B7F" w14:textId="77777777" w:rsidR="00AA3A5F" w:rsidRPr="00B25A22" w:rsidRDefault="00AA3A5F" w:rsidP="007A68D5">
            <w:pPr>
              <w:spacing w:after="60"/>
              <w:jc w:val="right"/>
              <w:rPr>
                <w:rFonts w:cs="Times New Roman"/>
                <w:sz w:val="20"/>
                <w:szCs w:val="20"/>
                <w:lang w:val="cs-CZ"/>
              </w:rPr>
            </w:pPr>
            <w:r w:rsidRPr="00B25A22">
              <w:rPr>
                <w:rFonts w:cs="Times New Roman"/>
                <w:sz w:val="20"/>
                <w:szCs w:val="20"/>
                <w:lang w:val="cs-CZ"/>
              </w:rPr>
              <w:t>39,5</w:t>
            </w:r>
          </w:p>
        </w:tc>
        <w:tc>
          <w:tcPr>
            <w:tcW w:w="385" w:type="pct"/>
            <w:shd w:val="clear" w:color="auto" w:fill="auto"/>
            <w:noWrap/>
            <w:vAlign w:val="bottom"/>
            <w:hideMark/>
          </w:tcPr>
          <w:p w14:paraId="3A4ABA31" w14:textId="77777777" w:rsidR="00AA3A5F" w:rsidRPr="00B25A22" w:rsidRDefault="00AA3A5F" w:rsidP="007A68D5">
            <w:pPr>
              <w:spacing w:after="60"/>
              <w:jc w:val="right"/>
              <w:rPr>
                <w:rFonts w:cs="Times New Roman"/>
                <w:sz w:val="20"/>
                <w:szCs w:val="20"/>
                <w:lang w:val="cs-CZ"/>
              </w:rPr>
            </w:pPr>
            <w:r w:rsidRPr="00B25A22">
              <w:rPr>
                <w:rFonts w:cs="Times New Roman"/>
                <w:sz w:val="20"/>
                <w:szCs w:val="20"/>
                <w:lang w:val="cs-CZ"/>
              </w:rPr>
              <w:t>39,2</w:t>
            </w:r>
          </w:p>
        </w:tc>
        <w:tc>
          <w:tcPr>
            <w:tcW w:w="348" w:type="pct"/>
            <w:vAlign w:val="bottom"/>
          </w:tcPr>
          <w:p w14:paraId="5FD5C895" w14:textId="77777777" w:rsidR="00AA3A5F" w:rsidRPr="00B25A22" w:rsidRDefault="00AA3A5F" w:rsidP="007A68D5">
            <w:pPr>
              <w:spacing w:after="60"/>
              <w:jc w:val="right"/>
              <w:rPr>
                <w:rFonts w:cs="Times New Roman"/>
                <w:sz w:val="20"/>
                <w:szCs w:val="20"/>
                <w:lang w:val="cs-CZ"/>
              </w:rPr>
            </w:pPr>
            <w:r w:rsidRPr="00B25A22">
              <w:rPr>
                <w:rFonts w:cs="Times New Roman"/>
                <w:sz w:val="20"/>
                <w:szCs w:val="20"/>
                <w:lang w:val="cs-CZ"/>
              </w:rPr>
              <w:t>43,6</w:t>
            </w:r>
          </w:p>
        </w:tc>
      </w:tr>
    </w:tbl>
    <w:p w14:paraId="7F9E896B" w14:textId="77777777" w:rsidR="00AA3A5F" w:rsidRPr="00B25A22" w:rsidRDefault="00AA3A5F" w:rsidP="00B25A22">
      <w:pPr>
        <w:pStyle w:val="UZEIZdroj"/>
      </w:pPr>
      <w:r w:rsidRPr="00B25A22">
        <w:t>Pramen: výpočty ÚZEI dle SZIF</w:t>
      </w:r>
    </w:p>
    <w:p w14:paraId="000ADB31" w14:textId="77777777" w:rsidR="00AA3A5F" w:rsidRPr="00B25A22" w:rsidRDefault="00AA3A5F" w:rsidP="00B25A22">
      <w:pPr>
        <w:pStyle w:val="UZEINormaln"/>
        <w:rPr>
          <w:b/>
          <w:bCs/>
        </w:rPr>
      </w:pPr>
      <w:r w:rsidRPr="00B25A22">
        <w:rPr>
          <w:b/>
          <w:bCs/>
        </w:rPr>
        <w:t>Chov skotu - hovězí maso</w:t>
      </w:r>
    </w:p>
    <w:p w14:paraId="59C98366" w14:textId="75F999E5" w:rsidR="00AA3A5F" w:rsidRPr="00B25A22" w:rsidRDefault="00AA3A5F" w:rsidP="00B25A22">
      <w:pPr>
        <w:pStyle w:val="UZEINormaln"/>
      </w:pPr>
      <w:r w:rsidRPr="00B25A22">
        <w:t>Přestože největší počty zvířat z celkového počtu chovaného skotu v ČR jsou evidovány v podnicích s chovy čítajícími více než 1 000 ks (tj. více než 46 % zvířat), pomocný výpočet HHI</w:t>
      </w:r>
      <w:r w:rsidRPr="00B25A22">
        <w:rPr>
          <w:rStyle w:val="Znakapoznpodarou"/>
        </w:rPr>
        <w:footnoteReference w:id="15"/>
      </w:r>
      <w:r w:rsidRPr="00B25A22">
        <w:t xml:space="preserve"> ukazuje, že koncentrace chovu skotu je velmi nízká. Koncentrace zpracovatelských podniků s porážkou skotu byla v roce 2010 také velmi nízká. Do roku 2015 se hodnota HH indexu sice mírně zvýšila, ale stále se nacházela hluboko pod hranicí 1000. To znamená, že dosud není v ČR žádný subjekt s výraznou převahou počtu poráženého skotu, a ani v odvětví hovězího masa neexistuje vyvažující síla vůči maloobchodu.</w:t>
      </w:r>
    </w:p>
    <w:p w14:paraId="22C2CEE0" w14:textId="729ABB94" w:rsidR="00AA3A5F" w:rsidRPr="00B25A22" w:rsidRDefault="00AA3A5F" w:rsidP="00B25A22">
      <w:pPr>
        <w:pStyle w:val="UZEITaB"/>
      </w:pPr>
      <w:bookmarkStart w:id="37" w:name="_Toc81743445"/>
      <w:r w:rsidRPr="00B25A22">
        <w:t>Vývoj koncentrace chovu skotu a jatek, počet poraženého skotu podle indexu HHI</w:t>
      </w:r>
      <w:bookmarkEnd w:id="37"/>
    </w:p>
    <w:tbl>
      <w:tblPr>
        <w:tblW w:w="8860" w:type="dxa"/>
        <w:tblCellMar>
          <w:left w:w="70" w:type="dxa"/>
          <w:right w:w="70" w:type="dxa"/>
        </w:tblCellMar>
        <w:tblLook w:val="04A0" w:firstRow="1" w:lastRow="0" w:firstColumn="1" w:lastColumn="0" w:noHBand="0" w:noVBand="1"/>
      </w:tblPr>
      <w:tblGrid>
        <w:gridCol w:w="1220"/>
        <w:gridCol w:w="759"/>
        <w:gridCol w:w="760"/>
        <w:gridCol w:w="760"/>
        <w:gridCol w:w="847"/>
        <w:gridCol w:w="847"/>
        <w:gridCol w:w="847"/>
        <w:gridCol w:w="940"/>
        <w:gridCol w:w="940"/>
        <w:gridCol w:w="940"/>
      </w:tblGrid>
      <w:tr w:rsidR="00AA3A5F" w:rsidRPr="000703B9" w14:paraId="03EC3AAA" w14:textId="77777777" w:rsidTr="007A68D5">
        <w:trPr>
          <w:trHeight w:val="458"/>
        </w:trPr>
        <w:tc>
          <w:tcPr>
            <w:tcW w:w="1220" w:type="dxa"/>
            <w:vMerge w:val="restart"/>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268733A7"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Ukazatel</w:t>
            </w:r>
          </w:p>
        </w:tc>
        <w:tc>
          <w:tcPr>
            <w:tcW w:w="2279" w:type="dxa"/>
            <w:gridSpan w:val="3"/>
            <w:vMerge w:val="restart"/>
            <w:tcBorders>
              <w:top w:val="single" w:sz="12" w:space="0" w:color="auto"/>
              <w:left w:val="single" w:sz="4" w:space="0" w:color="auto"/>
              <w:bottom w:val="single" w:sz="4" w:space="0" w:color="000000"/>
              <w:right w:val="single" w:sz="4" w:space="0" w:color="000000"/>
            </w:tcBorders>
            <w:shd w:val="clear" w:color="auto" w:fill="auto"/>
            <w:vAlign w:val="center"/>
            <w:hideMark/>
          </w:tcPr>
          <w:p w14:paraId="2BD56410" w14:textId="77777777" w:rsidR="00AA3A5F" w:rsidRPr="00B25A22" w:rsidRDefault="00AA3A5F" w:rsidP="007A68D5">
            <w:pPr>
              <w:jc w:val="center"/>
              <w:rPr>
                <w:rFonts w:cs="Times New Roman"/>
                <w:bCs/>
                <w:color w:val="000000"/>
                <w:sz w:val="20"/>
                <w:szCs w:val="20"/>
                <w:vertAlign w:val="superscript"/>
                <w:lang w:val="cs-CZ"/>
              </w:rPr>
            </w:pPr>
            <w:r w:rsidRPr="00B25A22">
              <w:rPr>
                <w:rFonts w:cs="Times New Roman"/>
                <w:bCs/>
                <w:color w:val="000000"/>
                <w:sz w:val="20"/>
                <w:szCs w:val="20"/>
                <w:lang w:val="cs-CZ"/>
              </w:rPr>
              <w:t>HHI</w:t>
            </w:r>
            <w:r w:rsidRPr="00B25A22">
              <w:rPr>
                <w:rFonts w:cs="Times New Roman"/>
                <w:bCs/>
                <w:color w:val="000000"/>
                <w:sz w:val="20"/>
                <w:szCs w:val="20"/>
                <w:vertAlign w:val="superscript"/>
                <w:lang w:val="cs-CZ"/>
              </w:rPr>
              <w:t>1</w:t>
            </w:r>
          </w:p>
          <w:p w14:paraId="346C7DD9" w14:textId="77777777" w:rsidR="00AA3A5F" w:rsidRPr="00B25A22" w:rsidRDefault="00AA3A5F" w:rsidP="007A68D5">
            <w:pPr>
              <w:jc w:val="center"/>
              <w:rPr>
                <w:rFonts w:cs="Times New Roman"/>
                <w:bCs/>
                <w:color w:val="000000"/>
                <w:sz w:val="20"/>
                <w:szCs w:val="20"/>
                <w:lang w:val="cs-CZ"/>
              </w:rPr>
            </w:pPr>
            <w:r w:rsidRPr="00B25A22">
              <w:rPr>
                <w:rFonts w:cs="Times New Roman"/>
                <w:bCs/>
                <w:color w:val="000000"/>
                <w:sz w:val="20"/>
                <w:szCs w:val="20"/>
                <w:lang w:val="cs-CZ"/>
              </w:rPr>
              <w:t>index v %</w:t>
            </w:r>
          </w:p>
        </w:tc>
        <w:tc>
          <w:tcPr>
            <w:tcW w:w="2541" w:type="dxa"/>
            <w:gridSpan w:val="3"/>
            <w:vMerge w:val="restart"/>
            <w:tcBorders>
              <w:top w:val="single" w:sz="12" w:space="0" w:color="auto"/>
              <w:left w:val="single" w:sz="4" w:space="0" w:color="auto"/>
              <w:bottom w:val="single" w:sz="4" w:space="0" w:color="auto"/>
              <w:right w:val="single" w:sz="4" w:space="0" w:color="auto"/>
            </w:tcBorders>
            <w:shd w:val="clear" w:color="auto" w:fill="auto"/>
            <w:vAlign w:val="bottom"/>
            <w:hideMark/>
          </w:tcPr>
          <w:p w14:paraId="4124C4F9" w14:textId="77777777" w:rsidR="00AA3A5F" w:rsidRPr="00B25A22" w:rsidRDefault="00AA3A5F" w:rsidP="007A68D5">
            <w:pPr>
              <w:jc w:val="center"/>
              <w:rPr>
                <w:rFonts w:cs="Times New Roman"/>
                <w:bCs/>
                <w:sz w:val="20"/>
                <w:szCs w:val="20"/>
                <w:lang w:val="cs-CZ"/>
              </w:rPr>
            </w:pPr>
            <w:r w:rsidRPr="00B25A22">
              <w:rPr>
                <w:rFonts w:cs="Times New Roman"/>
                <w:bCs/>
                <w:sz w:val="20"/>
                <w:szCs w:val="20"/>
                <w:lang w:val="cs-CZ"/>
              </w:rPr>
              <w:t>Počet subjektů chovů</w:t>
            </w:r>
          </w:p>
          <w:p w14:paraId="3AA567D0" w14:textId="77777777" w:rsidR="00AA3A5F" w:rsidRPr="00B25A22" w:rsidRDefault="00AA3A5F" w:rsidP="007A68D5">
            <w:pPr>
              <w:jc w:val="center"/>
              <w:rPr>
                <w:rFonts w:cs="Times New Roman"/>
                <w:bCs/>
                <w:sz w:val="20"/>
                <w:szCs w:val="20"/>
                <w:lang w:val="cs-CZ"/>
              </w:rPr>
            </w:pPr>
            <w:r w:rsidRPr="00B25A22">
              <w:rPr>
                <w:rFonts w:cs="Times New Roman"/>
                <w:bCs/>
                <w:sz w:val="20"/>
                <w:szCs w:val="20"/>
                <w:lang w:val="cs-CZ"/>
              </w:rPr>
              <w:t xml:space="preserve">resp. jatek </w:t>
            </w:r>
          </w:p>
        </w:tc>
        <w:tc>
          <w:tcPr>
            <w:tcW w:w="2820" w:type="dxa"/>
            <w:gridSpan w:val="3"/>
            <w:vMerge w:val="restart"/>
            <w:tcBorders>
              <w:top w:val="single" w:sz="12" w:space="0" w:color="auto"/>
              <w:left w:val="single" w:sz="4" w:space="0" w:color="auto"/>
              <w:bottom w:val="single" w:sz="4" w:space="0" w:color="auto"/>
              <w:right w:val="single" w:sz="12" w:space="0" w:color="auto"/>
            </w:tcBorders>
            <w:shd w:val="clear" w:color="auto" w:fill="auto"/>
            <w:vAlign w:val="bottom"/>
            <w:hideMark/>
          </w:tcPr>
          <w:p w14:paraId="768C6ADB" w14:textId="77777777" w:rsidR="00AA3A5F" w:rsidRPr="00B25A22" w:rsidRDefault="00AA3A5F" w:rsidP="007A68D5">
            <w:pPr>
              <w:jc w:val="center"/>
              <w:rPr>
                <w:rFonts w:cs="Times New Roman"/>
                <w:bCs/>
                <w:sz w:val="20"/>
                <w:szCs w:val="20"/>
                <w:lang w:val="cs-CZ"/>
              </w:rPr>
            </w:pPr>
            <w:r w:rsidRPr="00B25A22">
              <w:rPr>
                <w:rFonts w:cs="Times New Roman"/>
                <w:bCs/>
                <w:sz w:val="20"/>
                <w:szCs w:val="20"/>
                <w:lang w:val="cs-CZ"/>
              </w:rPr>
              <w:t xml:space="preserve">Počet chovaných </w:t>
            </w:r>
            <w:r w:rsidRPr="00B25A22">
              <w:rPr>
                <w:rFonts w:cs="Times New Roman"/>
                <w:bCs/>
                <w:sz w:val="20"/>
                <w:szCs w:val="20"/>
                <w:lang w:val="cs-CZ"/>
              </w:rPr>
              <w:br/>
              <w:t>resp. poražených zvířat v ks</w:t>
            </w:r>
          </w:p>
        </w:tc>
      </w:tr>
      <w:tr w:rsidR="00AA3A5F" w:rsidRPr="000703B9" w14:paraId="406126E0" w14:textId="77777777" w:rsidTr="007A68D5">
        <w:trPr>
          <w:trHeight w:val="458"/>
        </w:trPr>
        <w:tc>
          <w:tcPr>
            <w:tcW w:w="1220" w:type="dxa"/>
            <w:vMerge/>
            <w:tcBorders>
              <w:top w:val="single" w:sz="8" w:space="0" w:color="auto"/>
              <w:left w:val="single" w:sz="12" w:space="0" w:color="auto"/>
              <w:bottom w:val="single" w:sz="4" w:space="0" w:color="auto"/>
              <w:right w:val="single" w:sz="4" w:space="0" w:color="auto"/>
            </w:tcBorders>
            <w:shd w:val="clear" w:color="auto" w:fill="auto"/>
            <w:vAlign w:val="center"/>
            <w:hideMark/>
          </w:tcPr>
          <w:p w14:paraId="18933CD7" w14:textId="77777777" w:rsidR="00AA3A5F" w:rsidRPr="00B25A22" w:rsidRDefault="00AA3A5F" w:rsidP="007A68D5">
            <w:pPr>
              <w:jc w:val="left"/>
              <w:rPr>
                <w:rFonts w:cs="Times New Roman"/>
                <w:color w:val="000000"/>
                <w:sz w:val="20"/>
                <w:szCs w:val="20"/>
                <w:lang w:val="cs-CZ"/>
              </w:rPr>
            </w:pPr>
          </w:p>
        </w:tc>
        <w:tc>
          <w:tcPr>
            <w:tcW w:w="2279" w:type="dxa"/>
            <w:gridSpan w:val="3"/>
            <w:vMerge/>
            <w:tcBorders>
              <w:top w:val="single" w:sz="8" w:space="0" w:color="auto"/>
              <w:left w:val="single" w:sz="4" w:space="0" w:color="auto"/>
              <w:bottom w:val="single" w:sz="4" w:space="0" w:color="000000"/>
              <w:right w:val="single" w:sz="4" w:space="0" w:color="000000"/>
            </w:tcBorders>
            <w:shd w:val="clear" w:color="auto" w:fill="auto"/>
            <w:vAlign w:val="center"/>
            <w:hideMark/>
          </w:tcPr>
          <w:p w14:paraId="6391B69B" w14:textId="77777777" w:rsidR="00AA3A5F" w:rsidRPr="00B25A22" w:rsidRDefault="00AA3A5F" w:rsidP="007A68D5">
            <w:pPr>
              <w:jc w:val="left"/>
              <w:rPr>
                <w:rFonts w:cs="Times New Roman"/>
                <w:b/>
                <w:bCs/>
                <w:color w:val="000000"/>
                <w:sz w:val="20"/>
                <w:szCs w:val="20"/>
                <w:lang w:val="cs-CZ"/>
              </w:rPr>
            </w:pPr>
          </w:p>
        </w:tc>
        <w:tc>
          <w:tcPr>
            <w:tcW w:w="2541" w:type="dxa"/>
            <w:gridSpan w:val="3"/>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6817427B" w14:textId="77777777" w:rsidR="00AA3A5F" w:rsidRPr="00B25A22" w:rsidRDefault="00AA3A5F" w:rsidP="007A68D5">
            <w:pPr>
              <w:jc w:val="left"/>
              <w:rPr>
                <w:rFonts w:cs="Times New Roman"/>
                <w:b/>
                <w:bCs/>
                <w:sz w:val="20"/>
                <w:szCs w:val="20"/>
                <w:lang w:val="cs-CZ"/>
              </w:rPr>
            </w:pPr>
          </w:p>
        </w:tc>
        <w:tc>
          <w:tcPr>
            <w:tcW w:w="2820" w:type="dxa"/>
            <w:gridSpan w:val="3"/>
            <w:vMerge/>
            <w:tcBorders>
              <w:top w:val="single" w:sz="8" w:space="0" w:color="auto"/>
              <w:left w:val="single" w:sz="4" w:space="0" w:color="auto"/>
              <w:bottom w:val="single" w:sz="4" w:space="0" w:color="auto"/>
              <w:right w:val="single" w:sz="12" w:space="0" w:color="auto"/>
            </w:tcBorders>
            <w:shd w:val="clear" w:color="auto" w:fill="auto"/>
            <w:vAlign w:val="center"/>
            <w:hideMark/>
          </w:tcPr>
          <w:p w14:paraId="5F5E5148" w14:textId="77777777" w:rsidR="00AA3A5F" w:rsidRPr="00B25A22" w:rsidRDefault="00AA3A5F" w:rsidP="007A68D5">
            <w:pPr>
              <w:jc w:val="left"/>
              <w:rPr>
                <w:rFonts w:cs="Times New Roman"/>
                <w:b/>
                <w:bCs/>
                <w:sz w:val="20"/>
                <w:szCs w:val="20"/>
                <w:lang w:val="cs-CZ"/>
              </w:rPr>
            </w:pPr>
          </w:p>
        </w:tc>
      </w:tr>
      <w:tr w:rsidR="00AA3A5F" w:rsidRPr="00B25A22" w14:paraId="48BD05D9" w14:textId="77777777" w:rsidTr="007A68D5">
        <w:trPr>
          <w:trHeight w:val="300"/>
        </w:trPr>
        <w:tc>
          <w:tcPr>
            <w:tcW w:w="1220" w:type="dxa"/>
            <w:vMerge/>
            <w:tcBorders>
              <w:top w:val="single" w:sz="8" w:space="0" w:color="auto"/>
              <w:left w:val="single" w:sz="12" w:space="0" w:color="auto"/>
              <w:bottom w:val="single" w:sz="4" w:space="0" w:color="auto"/>
              <w:right w:val="single" w:sz="4" w:space="0" w:color="auto"/>
            </w:tcBorders>
            <w:shd w:val="clear" w:color="auto" w:fill="auto"/>
            <w:vAlign w:val="center"/>
            <w:hideMark/>
          </w:tcPr>
          <w:p w14:paraId="6A1D328B" w14:textId="77777777" w:rsidR="00AA3A5F" w:rsidRPr="00B25A22" w:rsidRDefault="00AA3A5F" w:rsidP="007A68D5">
            <w:pPr>
              <w:jc w:val="left"/>
              <w:rPr>
                <w:rFonts w:cs="Times New Roman"/>
                <w:color w:val="000000"/>
                <w:sz w:val="20"/>
                <w:szCs w:val="20"/>
                <w:lang w:val="cs-CZ"/>
              </w:rPr>
            </w:pPr>
          </w:p>
        </w:tc>
        <w:tc>
          <w:tcPr>
            <w:tcW w:w="759" w:type="dxa"/>
            <w:tcBorders>
              <w:top w:val="nil"/>
              <w:left w:val="nil"/>
              <w:bottom w:val="single" w:sz="4" w:space="0" w:color="auto"/>
              <w:right w:val="single" w:sz="4" w:space="0" w:color="auto"/>
            </w:tcBorders>
            <w:shd w:val="clear" w:color="auto" w:fill="auto"/>
            <w:noWrap/>
            <w:vAlign w:val="center"/>
            <w:hideMark/>
          </w:tcPr>
          <w:p w14:paraId="7D28F029"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2010</w:t>
            </w:r>
          </w:p>
        </w:tc>
        <w:tc>
          <w:tcPr>
            <w:tcW w:w="760" w:type="dxa"/>
            <w:tcBorders>
              <w:top w:val="nil"/>
              <w:left w:val="nil"/>
              <w:bottom w:val="single" w:sz="4" w:space="0" w:color="auto"/>
              <w:right w:val="single" w:sz="4" w:space="0" w:color="auto"/>
            </w:tcBorders>
            <w:shd w:val="clear" w:color="auto" w:fill="auto"/>
            <w:noWrap/>
            <w:vAlign w:val="center"/>
            <w:hideMark/>
          </w:tcPr>
          <w:p w14:paraId="269243CA"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2016</w:t>
            </w:r>
          </w:p>
        </w:tc>
        <w:tc>
          <w:tcPr>
            <w:tcW w:w="760" w:type="dxa"/>
            <w:tcBorders>
              <w:top w:val="nil"/>
              <w:left w:val="nil"/>
              <w:bottom w:val="single" w:sz="4" w:space="0" w:color="auto"/>
              <w:right w:val="single" w:sz="4" w:space="0" w:color="auto"/>
            </w:tcBorders>
            <w:shd w:val="clear" w:color="auto" w:fill="auto"/>
            <w:noWrap/>
            <w:vAlign w:val="center"/>
            <w:hideMark/>
          </w:tcPr>
          <w:p w14:paraId="543F6FA1"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2017</w:t>
            </w:r>
          </w:p>
        </w:tc>
        <w:tc>
          <w:tcPr>
            <w:tcW w:w="847" w:type="dxa"/>
            <w:tcBorders>
              <w:top w:val="nil"/>
              <w:left w:val="nil"/>
              <w:bottom w:val="single" w:sz="4" w:space="0" w:color="auto"/>
              <w:right w:val="single" w:sz="4" w:space="0" w:color="auto"/>
            </w:tcBorders>
            <w:shd w:val="clear" w:color="auto" w:fill="auto"/>
            <w:noWrap/>
            <w:vAlign w:val="center"/>
            <w:hideMark/>
          </w:tcPr>
          <w:p w14:paraId="20AA45C3"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2010</w:t>
            </w:r>
          </w:p>
        </w:tc>
        <w:tc>
          <w:tcPr>
            <w:tcW w:w="847" w:type="dxa"/>
            <w:tcBorders>
              <w:top w:val="nil"/>
              <w:left w:val="nil"/>
              <w:bottom w:val="single" w:sz="4" w:space="0" w:color="auto"/>
              <w:right w:val="single" w:sz="4" w:space="0" w:color="auto"/>
            </w:tcBorders>
            <w:shd w:val="clear" w:color="auto" w:fill="auto"/>
            <w:noWrap/>
            <w:vAlign w:val="center"/>
            <w:hideMark/>
          </w:tcPr>
          <w:p w14:paraId="3F430E40"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2016</w:t>
            </w:r>
          </w:p>
        </w:tc>
        <w:tc>
          <w:tcPr>
            <w:tcW w:w="847" w:type="dxa"/>
            <w:tcBorders>
              <w:top w:val="nil"/>
              <w:left w:val="nil"/>
              <w:bottom w:val="single" w:sz="4" w:space="0" w:color="auto"/>
              <w:right w:val="single" w:sz="4" w:space="0" w:color="auto"/>
            </w:tcBorders>
            <w:shd w:val="clear" w:color="auto" w:fill="auto"/>
            <w:noWrap/>
            <w:vAlign w:val="center"/>
            <w:hideMark/>
          </w:tcPr>
          <w:p w14:paraId="0A8680E0"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2017</w:t>
            </w:r>
          </w:p>
        </w:tc>
        <w:tc>
          <w:tcPr>
            <w:tcW w:w="940" w:type="dxa"/>
            <w:tcBorders>
              <w:top w:val="nil"/>
              <w:left w:val="nil"/>
              <w:bottom w:val="single" w:sz="4" w:space="0" w:color="auto"/>
              <w:right w:val="single" w:sz="4" w:space="0" w:color="auto"/>
            </w:tcBorders>
            <w:shd w:val="clear" w:color="auto" w:fill="auto"/>
            <w:noWrap/>
            <w:vAlign w:val="center"/>
            <w:hideMark/>
          </w:tcPr>
          <w:p w14:paraId="650AB9C2"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2010</w:t>
            </w:r>
          </w:p>
        </w:tc>
        <w:tc>
          <w:tcPr>
            <w:tcW w:w="940" w:type="dxa"/>
            <w:tcBorders>
              <w:top w:val="nil"/>
              <w:left w:val="nil"/>
              <w:bottom w:val="single" w:sz="4" w:space="0" w:color="auto"/>
              <w:right w:val="single" w:sz="4" w:space="0" w:color="auto"/>
            </w:tcBorders>
            <w:shd w:val="clear" w:color="auto" w:fill="auto"/>
            <w:noWrap/>
            <w:vAlign w:val="center"/>
            <w:hideMark/>
          </w:tcPr>
          <w:p w14:paraId="67854401"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2016</w:t>
            </w:r>
          </w:p>
        </w:tc>
        <w:tc>
          <w:tcPr>
            <w:tcW w:w="940" w:type="dxa"/>
            <w:tcBorders>
              <w:top w:val="nil"/>
              <w:left w:val="nil"/>
              <w:bottom w:val="single" w:sz="4" w:space="0" w:color="auto"/>
              <w:right w:val="single" w:sz="12" w:space="0" w:color="auto"/>
            </w:tcBorders>
            <w:shd w:val="clear" w:color="auto" w:fill="auto"/>
            <w:noWrap/>
            <w:vAlign w:val="center"/>
            <w:hideMark/>
          </w:tcPr>
          <w:p w14:paraId="7E8ED637" w14:textId="77777777" w:rsidR="00AA3A5F" w:rsidRPr="00B25A22" w:rsidRDefault="00AA3A5F" w:rsidP="007A68D5">
            <w:pPr>
              <w:jc w:val="center"/>
              <w:rPr>
                <w:rFonts w:cs="Times New Roman"/>
                <w:b/>
                <w:bCs/>
                <w:color w:val="000000"/>
                <w:sz w:val="20"/>
                <w:szCs w:val="20"/>
                <w:lang w:val="cs-CZ"/>
              </w:rPr>
            </w:pPr>
            <w:r w:rsidRPr="00B25A22">
              <w:rPr>
                <w:rFonts w:cs="Times New Roman"/>
                <w:b/>
                <w:bCs/>
                <w:color w:val="000000"/>
                <w:sz w:val="20"/>
                <w:szCs w:val="20"/>
                <w:lang w:val="cs-CZ"/>
              </w:rPr>
              <w:t>2017</w:t>
            </w:r>
          </w:p>
        </w:tc>
      </w:tr>
      <w:tr w:rsidR="00AA3A5F" w:rsidRPr="00B25A22" w14:paraId="18140D13" w14:textId="77777777" w:rsidTr="007A68D5">
        <w:trPr>
          <w:trHeight w:val="510"/>
        </w:trPr>
        <w:tc>
          <w:tcPr>
            <w:tcW w:w="1220" w:type="dxa"/>
            <w:tcBorders>
              <w:top w:val="nil"/>
              <w:left w:val="single" w:sz="12" w:space="0" w:color="auto"/>
              <w:bottom w:val="single" w:sz="4" w:space="0" w:color="auto"/>
              <w:right w:val="single" w:sz="4" w:space="0" w:color="auto"/>
            </w:tcBorders>
            <w:shd w:val="clear" w:color="auto" w:fill="auto"/>
            <w:vAlign w:val="center"/>
            <w:hideMark/>
          </w:tcPr>
          <w:p w14:paraId="16963811"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Koncentrace  skotu</w:t>
            </w:r>
          </w:p>
        </w:tc>
        <w:tc>
          <w:tcPr>
            <w:tcW w:w="759" w:type="dxa"/>
            <w:tcBorders>
              <w:top w:val="nil"/>
              <w:left w:val="nil"/>
              <w:bottom w:val="single" w:sz="4" w:space="0" w:color="auto"/>
              <w:right w:val="single" w:sz="4" w:space="0" w:color="auto"/>
            </w:tcBorders>
            <w:shd w:val="clear" w:color="auto" w:fill="auto"/>
            <w:noWrap/>
            <w:vAlign w:val="center"/>
            <w:hideMark/>
          </w:tcPr>
          <w:p w14:paraId="1BF19CAD"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6,5</w:t>
            </w:r>
          </w:p>
        </w:tc>
        <w:tc>
          <w:tcPr>
            <w:tcW w:w="760" w:type="dxa"/>
            <w:tcBorders>
              <w:top w:val="nil"/>
              <w:left w:val="nil"/>
              <w:bottom w:val="single" w:sz="4" w:space="0" w:color="auto"/>
              <w:right w:val="single" w:sz="4" w:space="0" w:color="auto"/>
            </w:tcBorders>
            <w:shd w:val="clear" w:color="auto" w:fill="auto"/>
            <w:noWrap/>
            <w:vAlign w:val="center"/>
            <w:hideMark/>
          </w:tcPr>
          <w:p w14:paraId="1F144AAD"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6</w:t>
            </w:r>
          </w:p>
        </w:tc>
        <w:tc>
          <w:tcPr>
            <w:tcW w:w="760" w:type="dxa"/>
            <w:tcBorders>
              <w:top w:val="nil"/>
              <w:left w:val="nil"/>
              <w:bottom w:val="single" w:sz="4" w:space="0" w:color="auto"/>
              <w:right w:val="single" w:sz="4" w:space="0" w:color="auto"/>
            </w:tcBorders>
            <w:shd w:val="clear" w:color="auto" w:fill="auto"/>
            <w:noWrap/>
            <w:vAlign w:val="center"/>
            <w:hideMark/>
          </w:tcPr>
          <w:p w14:paraId="6881A0AB"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 </w:t>
            </w:r>
          </w:p>
        </w:tc>
        <w:tc>
          <w:tcPr>
            <w:tcW w:w="847" w:type="dxa"/>
            <w:tcBorders>
              <w:top w:val="nil"/>
              <w:left w:val="nil"/>
              <w:bottom w:val="single" w:sz="4" w:space="0" w:color="auto"/>
              <w:right w:val="single" w:sz="4" w:space="0" w:color="auto"/>
            </w:tcBorders>
            <w:shd w:val="clear" w:color="auto" w:fill="auto"/>
            <w:noWrap/>
            <w:vAlign w:val="center"/>
            <w:hideMark/>
          </w:tcPr>
          <w:p w14:paraId="4FFDA772"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17 204</w:t>
            </w:r>
          </w:p>
        </w:tc>
        <w:tc>
          <w:tcPr>
            <w:tcW w:w="847" w:type="dxa"/>
            <w:tcBorders>
              <w:top w:val="nil"/>
              <w:left w:val="nil"/>
              <w:bottom w:val="single" w:sz="4" w:space="0" w:color="auto"/>
              <w:right w:val="single" w:sz="4" w:space="0" w:color="auto"/>
            </w:tcBorders>
            <w:shd w:val="clear" w:color="auto" w:fill="auto"/>
            <w:noWrap/>
            <w:vAlign w:val="center"/>
            <w:hideMark/>
          </w:tcPr>
          <w:p w14:paraId="510DACC2"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18 564</w:t>
            </w:r>
          </w:p>
        </w:tc>
        <w:tc>
          <w:tcPr>
            <w:tcW w:w="847" w:type="dxa"/>
            <w:tcBorders>
              <w:top w:val="nil"/>
              <w:left w:val="nil"/>
              <w:bottom w:val="single" w:sz="4" w:space="0" w:color="auto"/>
              <w:right w:val="single" w:sz="4" w:space="0" w:color="auto"/>
            </w:tcBorders>
            <w:shd w:val="clear" w:color="auto" w:fill="auto"/>
            <w:noWrap/>
            <w:vAlign w:val="center"/>
            <w:hideMark/>
          </w:tcPr>
          <w:p w14:paraId="14A98158"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18 218</w:t>
            </w:r>
          </w:p>
        </w:tc>
        <w:tc>
          <w:tcPr>
            <w:tcW w:w="940" w:type="dxa"/>
            <w:tcBorders>
              <w:top w:val="nil"/>
              <w:left w:val="nil"/>
              <w:bottom w:val="single" w:sz="4" w:space="0" w:color="auto"/>
              <w:right w:val="single" w:sz="4" w:space="0" w:color="auto"/>
            </w:tcBorders>
            <w:shd w:val="clear" w:color="auto" w:fill="auto"/>
            <w:noWrap/>
            <w:vAlign w:val="center"/>
            <w:hideMark/>
          </w:tcPr>
          <w:p w14:paraId="45D3D1E7"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1 517 198</w:t>
            </w:r>
          </w:p>
        </w:tc>
        <w:tc>
          <w:tcPr>
            <w:tcW w:w="940" w:type="dxa"/>
            <w:tcBorders>
              <w:top w:val="nil"/>
              <w:left w:val="nil"/>
              <w:bottom w:val="single" w:sz="4" w:space="0" w:color="auto"/>
              <w:right w:val="single" w:sz="4" w:space="0" w:color="auto"/>
            </w:tcBorders>
            <w:shd w:val="clear" w:color="auto" w:fill="auto"/>
            <w:noWrap/>
            <w:vAlign w:val="center"/>
            <w:hideMark/>
          </w:tcPr>
          <w:p w14:paraId="6A2868F3"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1 655 567</w:t>
            </w:r>
          </w:p>
        </w:tc>
        <w:tc>
          <w:tcPr>
            <w:tcW w:w="940" w:type="dxa"/>
            <w:tcBorders>
              <w:top w:val="nil"/>
              <w:left w:val="nil"/>
              <w:bottom w:val="single" w:sz="4" w:space="0" w:color="auto"/>
              <w:right w:val="single" w:sz="12" w:space="0" w:color="auto"/>
            </w:tcBorders>
            <w:shd w:val="clear" w:color="auto" w:fill="auto"/>
            <w:noWrap/>
            <w:vAlign w:val="center"/>
            <w:hideMark/>
          </w:tcPr>
          <w:p w14:paraId="2B4F30E8"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1 673 540</w:t>
            </w:r>
          </w:p>
        </w:tc>
      </w:tr>
      <w:tr w:rsidR="00AA3A5F" w:rsidRPr="00B25A22" w14:paraId="3C41B248" w14:textId="77777777" w:rsidTr="007A68D5">
        <w:trPr>
          <w:trHeight w:val="525"/>
        </w:trPr>
        <w:tc>
          <w:tcPr>
            <w:tcW w:w="1220" w:type="dxa"/>
            <w:tcBorders>
              <w:top w:val="nil"/>
              <w:left w:val="single" w:sz="12" w:space="0" w:color="auto"/>
              <w:bottom w:val="single" w:sz="12" w:space="0" w:color="auto"/>
              <w:right w:val="single" w:sz="4" w:space="0" w:color="auto"/>
            </w:tcBorders>
            <w:shd w:val="clear" w:color="auto" w:fill="auto"/>
            <w:vAlign w:val="center"/>
            <w:hideMark/>
          </w:tcPr>
          <w:p w14:paraId="54464EBE"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Porážka</w:t>
            </w:r>
            <w:r w:rsidRPr="00B25A22">
              <w:rPr>
                <w:rFonts w:cs="Times New Roman"/>
                <w:color w:val="000000"/>
                <w:sz w:val="20"/>
                <w:szCs w:val="20"/>
                <w:lang w:val="cs-CZ"/>
              </w:rPr>
              <w:br/>
              <w:t>jat. skotu</w:t>
            </w:r>
          </w:p>
        </w:tc>
        <w:tc>
          <w:tcPr>
            <w:tcW w:w="759" w:type="dxa"/>
            <w:tcBorders>
              <w:top w:val="nil"/>
              <w:left w:val="nil"/>
              <w:bottom w:val="single" w:sz="12" w:space="0" w:color="auto"/>
              <w:right w:val="single" w:sz="4" w:space="0" w:color="auto"/>
            </w:tcBorders>
            <w:shd w:val="clear" w:color="auto" w:fill="auto"/>
            <w:noWrap/>
            <w:vAlign w:val="center"/>
            <w:hideMark/>
          </w:tcPr>
          <w:p w14:paraId="2847BBBF"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363</w:t>
            </w:r>
          </w:p>
        </w:tc>
        <w:tc>
          <w:tcPr>
            <w:tcW w:w="760" w:type="dxa"/>
            <w:tcBorders>
              <w:top w:val="nil"/>
              <w:left w:val="nil"/>
              <w:bottom w:val="single" w:sz="12" w:space="0" w:color="auto"/>
              <w:right w:val="single" w:sz="4" w:space="0" w:color="auto"/>
            </w:tcBorders>
            <w:shd w:val="clear" w:color="auto" w:fill="auto"/>
            <w:noWrap/>
            <w:vAlign w:val="center"/>
            <w:hideMark/>
          </w:tcPr>
          <w:p w14:paraId="62FA575D"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455</w:t>
            </w:r>
          </w:p>
        </w:tc>
        <w:tc>
          <w:tcPr>
            <w:tcW w:w="760" w:type="dxa"/>
            <w:tcBorders>
              <w:top w:val="nil"/>
              <w:left w:val="nil"/>
              <w:bottom w:val="single" w:sz="12" w:space="0" w:color="auto"/>
              <w:right w:val="single" w:sz="4" w:space="0" w:color="auto"/>
            </w:tcBorders>
            <w:shd w:val="clear" w:color="auto" w:fill="auto"/>
            <w:noWrap/>
            <w:vAlign w:val="center"/>
            <w:hideMark/>
          </w:tcPr>
          <w:p w14:paraId="38F687D7"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478</w:t>
            </w:r>
          </w:p>
        </w:tc>
        <w:tc>
          <w:tcPr>
            <w:tcW w:w="847" w:type="dxa"/>
            <w:tcBorders>
              <w:top w:val="nil"/>
              <w:left w:val="nil"/>
              <w:bottom w:val="single" w:sz="12" w:space="0" w:color="auto"/>
              <w:right w:val="single" w:sz="4" w:space="0" w:color="auto"/>
            </w:tcBorders>
            <w:shd w:val="clear" w:color="auto" w:fill="auto"/>
            <w:noWrap/>
            <w:vAlign w:val="center"/>
            <w:hideMark/>
          </w:tcPr>
          <w:p w14:paraId="64C62303"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191</w:t>
            </w:r>
          </w:p>
        </w:tc>
        <w:tc>
          <w:tcPr>
            <w:tcW w:w="847" w:type="dxa"/>
            <w:tcBorders>
              <w:top w:val="nil"/>
              <w:left w:val="nil"/>
              <w:bottom w:val="single" w:sz="12" w:space="0" w:color="auto"/>
              <w:right w:val="single" w:sz="4" w:space="0" w:color="auto"/>
            </w:tcBorders>
            <w:shd w:val="clear" w:color="auto" w:fill="auto"/>
            <w:noWrap/>
            <w:vAlign w:val="center"/>
            <w:hideMark/>
          </w:tcPr>
          <w:p w14:paraId="203A171D"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184</w:t>
            </w:r>
          </w:p>
        </w:tc>
        <w:tc>
          <w:tcPr>
            <w:tcW w:w="847" w:type="dxa"/>
            <w:tcBorders>
              <w:top w:val="nil"/>
              <w:left w:val="nil"/>
              <w:bottom w:val="single" w:sz="12" w:space="0" w:color="auto"/>
              <w:right w:val="single" w:sz="4" w:space="0" w:color="auto"/>
            </w:tcBorders>
            <w:shd w:val="clear" w:color="auto" w:fill="auto"/>
            <w:noWrap/>
            <w:vAlign w:val="center"/>
            <w:hideMark/>
          </w:tcPr>
          <w:p w14:paraId="6F957206"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184</w:t>
            </w:r>
          </w:p>
        </w:tc>
        <w:tc>
          <w:tcPr>
            <w:tcW w:w="940" w:type="dxa"/>
            <w:tcBorders>
              <w:top w:val="nil"/>
              <w:left w:val="nil"/>
              <w:bottom w:val="single" w:sz="12" w:space="0" w:color="auto"/>
              <w:right w:val="single" w:sz="4" w:space="0" w:color="auto"/>
            </w:tcBorders>
            <w:shd w:val="clear" w:color="auto" w:fill="auto"/>
            <w:noWrap/>
            <w:vAlign w:val="center"/>
            <w:hideMark/>
          </w:tcPr>
          <w:p w14:paraId="53443CC0"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277 987</w:t>
            </w:r>
          </w:p>
        </w:tc>
        <w:tc>
          <w:tcPr>
            <w:tcW w:w="940" w:type="dxa"/>
            <w:tcBorders>
              <w:top w:val="nil"/>
              <w:left w:val="nil"/>
              <w:bottom w:val="single" w:sz="12" w:space="0" w:color="auto"/>
              <w:right w:val="single" w:sz="4" w:space="0" w:color="auto"/>
            </w:tcBorders>
            <w:shd w:val="clear" w:color="auto" w:fill="auto"/>
            <w:noWrap/>
            <w:vAlign w:val="center"/>
            <w:hideMark/>
          </w:tcPr>
          <w:p w14:paraId="7BDB733A"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260 056</w:t>
            </w:r>
          </w:p>
        </w:tc>
        <w:tc>
          <w:tcPr>
            <w:tcW w:w="940" w:type="dxa"/>
            <w:tcBorders>
              <w:top w:val="nil"/>
              <w:left w:val="nil"/>
              <w:bottom w:val="single" w:sz="12" w:space="0" w:color="auto"/>
              <w:right w:val="single" w:sz="12" w:space="0" w:color="auto"/>
            </w:tcBorders>
            <w:shd w:val="clear" w:color="auto" w:fill="auto"/>
            <w:noWrap/>
            <w:vAlign w:val="center"/>
            <w:hideMark/>
          </w:tcPr>
          <w:p w14:paraId="2CE08456"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244 058</w:t>
            </w:r>
          </w:p>
        </w:tc>
      </w:tr>
    </w:tbl>
    <w:p w14:paraId="3F61423B" w14:textId="77777777" w:rsidR="00AA3A5F" w:rsidRPr="00B25A22" w:rsidRDefault="00AA3A5F" w:rsidP="00BA3563">
      <w:pPr>
        <w:pStyle w:val="Odstavecseseznamem"/>
        <w:numPr>
          <w:ilvl w:val="0"/>
          <w:numId w:val="19"/>
        </w:numPr>
        <w:tabs>
          <w:tab w:val="left" w:pos="426"/>
        </w:tabs>
        <w:spacing w:line="240" w:lineRule="atLeast"/>
        <w:ind w:left="142" w:firstLine="0"/>
        <w:contextualSpacing w:val="0"/>
        <w:rPr>
          <w:i/>
          <w:iCs/>
          <w:color w:val="000000"/>
          <w:sz w:val="18"/>
          <w:szCs w:val="18"/>
        </w:rPr>
      </w:pPr>
      <w:r w:rsidRPr="00B25A22">
        <w:rPr>
          <w:i/>
          <w:iCs/>
          <w:sz w:val="18"/>
          <w:szCs w:val="18"/>
        </w:rPr>
        <w:t>Pomocný výpočet na základě velikostních skupin.</w:t>
      </w:r>
    </w:p>
    <w:p w14:paraId="1136B59E" w14:textId="77777777" w:rsidR="00AA3A5F" w:rsidRPr="00B25A22" w:rsidRDefault="00AA3A5F" w:rsidP="00AA3A5F">
      <w:pPr>
        <w:spacing w:line="240" w:lineRule="atLeast"/>
        <w:ind w:firstLine="142"/>
        <w:rPr>
          <w:rFonts w:cs="Times New Roman"/>
          <w:i/>
          <w:iCs/>
          <w:color w:val="000000"/>
          <w:sz w:val="18"/>
          <w:szCs w:val="18"/>
          <w:lang w:val="cs-CZ"/>
        </w:rPr>
      </w:pPr>
      <w:r w:rsidRPr="00B25A22">
        <w:rPr>
          <w:rFonts w:cs="Times New Roman"/>
          <w:i/>
          <w:iCs/>
          <w:color w:val="000000"/>
          <w:sz w:val="18"/>
          <w:szCs w:val="18"/>
          <w:lang w:val="cs-CZ"/>
        </w:rPr>
        <w:t xml:space="preserve">Pramen: výpočet ÚZEI podle dat ČSÚ – porážky hospodářských zvířat, </w:t>
      </w:r>
    </w:p>
    <w:p w14:paraId="1BE28007" w14:textId="0AB60638" w:rsidR="00AA3A5F" w:rsidRPr="00B25A22" w:rsidRDefault="00AA3A5F" w:rsidP="00B25A22">
      <w:pPr>
        <w:pStyle w:val="UZEINormaln"/>
      </w:pPr>
      <w:r w:rsidRPr="00B25A22">
        <w:t>Nízké hodnoty HHI u zpracovatelů odrážejí „neusazenou“ tržní pozici potravinářů. Nejsou velcí ani malí, velké maloobchodní řetězce mají nad nimi vyjednávací převahu a na jiné/malé tržní kanály rychleji nereagují. Malé tržní kanály jsou často rychleji obsazovány KDŘ.</w:t>
      </w:r>
    </w:p>
    <w:p w14:paraId="5B5645A3" w14:textId="42CD5E12" w:rsidR="00AA3A5F" w:rsidRPr="00B25A22" w:rsidRDefault="00B25A22" w:rsidP="00B25A22">
      <w:pPr>
        <w:pStyle w:val="UZEITaB"/>
      </w:pPr>
      <w:r>
        <w:t xml:space="preserve"> </w:t>
      </w:r>
      <w:bookmarkStart w:id="38" w:name="_Toc81743446"/>
      <w:r w:rsidR="00AA3A5F" w:rsidRPr="00B25A22">
        <w:t>Struktura podniků s chovem skotu celkem v ČR v roce 2019 (údaje k 31.12.)</w:t>
      </w:r>
      <w:bookmarkEnd w:id="38"/>
    </w:p>
    <w:tbl>
      <w:tblPr>
        <w:tblW w:w="9200" w:type="dxa"/>
        <w:tblLayout w:type="fixed"/>
        <w:tblCellMar>
          <w:left w:w="70" w:type="dxa"/>
          <w:right w:w="70" w:type="dxa"/>
        </w:tblCellMar>
        <w:tblLook w:val="04A0" w:firstRow="1" w:lastRow="0" w:firstColumn="1" w:lastColumn="0" w:noHBand="0" w:noVBand="1"/>
      </w:tblPr>
      <w:tblGrid>
        <w:gridCol w:w="1400"/>
        <w:gridCol w:w="1560"/>
        <w:gridCol w:w="1560"/>
        <w:gridCol w:w="1560"/>
        <w:gridCol w:w="1560"/>
        <w:gridCol w:w="1560"/>
      </w:tblGrid>
      <w:tr w:rsidR="00AA3A5F" w:rsidRPr="000703B9" w14:paraId="1F6975D5" w14:textId="77777777" w:rsidTr="007A68D5">
        <w:trPr>
          <w:trHeight w:val="458"/>
        </w:trPr>
        <w:tc>
          <w:tcPr>
            <w:tcW w:w="1400" w:type="dxa"/>
            <w:vMerge w:val="restart"/>
            <w:tcBorders>
              <w:top w:val="single" w:sz="12" w:space="0" w:color="auto"/>
              <w:left w:val="single" w:sz="12" w:space="0" w:color="auto"/>
              <w:bottom w:val="single" w:sz="12" w:space="0" w:color="000000"/>
              <w:right w:val="single" w:sz="4" w:space="0" w:color="auto"/>
            </w:tcBorders>
            <w:shd w:val="clear" w:color="auto" w:fill="auto"/>
            <w:noWrap/>
            <w:vAlign w:val="center"/>
            <w:hideMark/>
          </w:tcPr>
          <w:p w14:paraId="17BA67CB" w14:textId="77777777" w:rsidR="00AA3A5F" w:rsidRPr="00B25A22" w:rsidRDefault="00AA3A5F" w:rsidP="007A68D5">
            <w:pPr>
              <w:jc w:val="center"/>
              <w:rPr>
                <w:rFonts w:cs="Times New Roman"/>
                <w:b/>
                <w:bCs/>
                <w:sz w:val="20"/>
                <w:szCs w:val="20"/>
                <w:lang w:val="cs-CZ"/>
              </w:rPr>
            </w:pPr>
            <w:r w:rsidRPr="00B25A22">
              <w:rPr>
                <w:rFonts w:cs="Times New Roman"/>
                <w:b/>
                <w:bCs/>
                <w:sz w:val="20"/>
                <w:szCs w:val="20"/>
                <w:lang w:val="cs-CZ"/>
              </w:rPr>
              <w:t>Chovatel</w:t>
            </w:r>
          </w:p>
        </w:tc>
        <w:tc>
          <w:tcPr>
            <w:tcW w:w="1560" w:type="dxa"/>
            <w:vMerge w:val="restart"/>
            <w:tcBorders>
              <w:top w:val="single" w:sz="12" w:space="0" w:color="auto"/>
              <w:left w:val="single" w:sz="4" w:space="0" w:color="auto"/>
              <w:bottom w:val="single" w:sz="12" w:space="0" w:color="000000"/>
              <w:right w:val="single" w:sz="4" w:space="0" w:color="auto"/>
            </w:tcBorders>
            <w:shd w:val="clear" w:color="auto" w:fill="auto"/>
            <w:vAlign w:val="center"/>
            <w:hideMark/>
          </w:tcPr>
          <w:p w14:paraId="652C8799" w14:textId="77777777" w:rsidR="00AA3A5F" w:rsidRPr="00B25A22" w:rsidRDefault="00AA3A5F" w:rsidP="007A68D5">
            <w:pPr>
              <w:jc w:val="center"/>
              <w:rPr>
                <w:rFonts w:cs="Times New Roman"/>
                <w:b/>
                <w:bCs/>
                <w:sz w:val="20"/>
                <w:szCs w:val="20"/>
                <w:lang w:val="cs-CZ"/>
              </w:rPr>
            </w:pPr>
            <w:r w:rsidRPr="00B25A22">
              <w:rPr>
                <w:rFonts w:cs="Times New Roman"/>
                <w:b/>
                <w:bCs/>
                <w:sz w:val="20"/>
                <w:szCs w:val="20"/>
                <w:lang w:val="cs-CZ"/>
              </w:rPr>
              <w:t>Počet chovatelů</w:t>
            </w:r>
          </w:p>
        </w:tc>
        <w:tc>
          <w:tcPr>
            <w:tcW w:w="1560" w:type="dxa"/>
            <w:vMerge w:val="restart"/>
            <w:tcBorders>
              <w:top w:val="single" w:sz="12" w:space="0" w:color="auto"/>
              <w:left w:val="single" w:sz="4" w:space="0" w:color="auto"/>
              <w:bottom w:val="single" w:sz="12" w:space="0" w:color="000000"/>
              <w:right w:val="single" w:sz="4" w:space="0" w:color="auto"/>
            </w:tcBorders>
            <w:shd w:val="clear" w:color="auto" w:fill="auto"/>
            <w:vAlign w:val="center"/>
            <w:hideMark/>
          </w:tcPr>
          <w:p w14:paraId="785AE2E7" w14:textId="77777777" w:rsidR="00AA3A5F" w:rsidRPr="00B25A22" w:rsidRDefault="00AA3A5F" w:rsidP="007A68D5">
            <w:pPr>
              <w:jc w:val="center"/>
              <w:rPr>
                <w:rFonts w:cs="Times New Roman"/>
                <w:b/>
                <w:bCs/>
                <w:sz w:val="20"/>
                <w:szCs w:val="20"/>
                <w:lang w:val="cs-CZ"/>
              </w:rPr>
            </w:pPr>
            <w:r w:rsidRPr="00B25A22">
              <w:rPr>
                <w:rFonts w:cs="Times New Roman"/>
                <w:b/>
                <w:bCs/>
                <w:sz w:val="20"/>
                <w:szCs w:val="20"/>
                <w:lang w:val="cs-CZ"/>
              </w:rPr>
              <w:t>Stavy skotu celkem</w:t>
            </w:r>
            <w:r w:rsidRPr="00B25A22">
              <w:rPr>
                <w:rFonts w:cs="Times New Roman"/>
                <w:b/>
                <w:bCs/>
                <w:sz w:val="20"/>
                <w:szCs w:val="20"/>
                <w:lang w:val="cs-CZ"/>
              </w:rPr>
              <w:br/>
              <w:t>za skupinu</w:t>
            </w:r>
          </w:p>
        </w:tc>
        <w:tc>
          <w:tcPr>
            <w:tcW w:w="1560" w:type="dxa"/>
            <w:vMerge w:val="restart"/>
            <w:tcBorders>
              <w:top w:val="single" w:sz="12" w:space="0" w:color="auto"/>
              <w:left w:val="single" w:sz="4" w:space="0" w:color="auto"/>
              <w:bottom w:val="single" w:sz="12" w:space="0" w:color="000000"/>
              <w:right w:val="single" w:sz="4" w:space="0" w:color="auto"/>
            </w:tcBorders>
            <w:shd w:val="clear" w:color="auto" w:fill="auto"/>
            <w:vAlign w:val="center"/>
            <w:hideMark/>
          </w:tcPr>
          <w:p w14:paraId="51BFAE74" w14:textId="77777777" w:rsidR="00AA3A5F" w:rsidRPr="00B25A22" w:rsidRDefault="00AA3A5F" w:rsidP="007A68D5">
            <w:pPr>
              <w:jc w:val="center"/>
              <w:rPr>
                <w:rFonts w:cs="Times New Roman"/>
                <w:b/>
                <w:bCs/>
                <w:sz w:val="20"/>
                <w:szCs w:val="20"/>
                <w:lang w:val="cs-CZ"/>
              </w:rPr>
            </w:pPr>
            <w:r w:rsidRPr="00B25A22">
              <w:rPr>
                <w:rFonts w:cs="Times New Roman"/>
                <w:b/>
                <w:bCs/>
                <w:sz w:val="20"/>
                <w:szCs w:val="20"/>
                <w:lang w:val="cs-CZ"/>
              </w:rPr>
              <w:t xml:space="preserve">Počet skotu </w:t>
            </w:r>
            <w:r w:rsidRPr="00B25A22">
              <w:rPr>
                <w:rFonts w:cs="Times New Roman"/>
                <w:b/>
                <w:bCs/>
                <w:sz w:val="20"/>
                <w:szCs w:val="20"/>
                <w:lang w:val="cs-CZ"/>
              </w:rPr>
              <w:br/>
              <w:t xml:space="preserve">na podnik </w:t>
            </w:r>
            <w:r w:rsidRPr="00B25A22">
              <w:rPr>
                <w:rFonts w:cs="Times New Roman"/>
                <w:b/>
                <w:bCs/>
                <w:sz w:val="20"/>
                <w:szCs w:val="20"/>
                <w:lang w:val="cs-CZ"/>
              </w:rPr>
              <w:br/>
              <w:t>v ks</w:t>
            </w:r>
          </w:p>
        </w:tc>
        <w:tc>
          <w:tcPr>
            <w:tcW w:w="1560" w:type="dxa"/>
            <w:vMerge w:val="restart"/>
            <w:tcBorders>
              <w:top w:val="single" w:sz="12" w:space="0" w:color="auto"/>
              <w:left w:val="single" w:sz="4" w:space="0" w:color="auto"/>
              <w:bottom w:val="single" w:sz="12" w:space="0" w:color="000000"/>
              <w:right w:val="single" w:sz="4" w:space="0" w:color="auto"/>
            </w:tcBorders>
            <w:shd w:val="clear" w:color="auto" w:fill="auto"/>
            <w:vAlign w:val="center"/>
            <w:hideMark/>
          </w:tcPr>
          <w:p w14:paraId="41947FC4" w14:textId="77777777" w:rsidR="00AA3A5F" w:rsidRPr="00B25A22" w:rsidRDefault="00AA3A5F" w:rsidP="007A68D5">
            <w:pPr>
              <w:jc w:val="center"/>
              <w:rPr>
                <w:rFonts w:cs="Times New Roman"/>
                <w:b/>
                <w:bCs/>
                <w:sz w:val="20"/>
                <w:szCs w:val="20"/>
                <w:lang w:val="cs-CZ"/>
              </w:rPr>
            </w:pPr>
            <w:r w:rsidRPr="00B25A22">
              <w:rPr>
                <w:rFonts w:cs="Times New Roman"/>
                <w:b/>
                <w:bCs/>
                <w:sz w:val="20"/>
                <w:szCs w:val="20"/>
                <w:lang w:val="cs-CZ"/>
              </w:rPr>
              <w:t>Podíl skotu</w:t>
            </w:r>
            <w:r w:rsidRPr="00B25A22">
              <w:rPr>
                <w:rFonts w:cs="Times New Roman"/>
                <w:b/>
                <w:bCs/>
                <w:sz w:val="20"/>
                <w:szCs w:val="20"/>
                <w:lang w:val="cs-CZ"/>
              </w:rPr>
              <w:br/>
              <w:t xml:space="preserve"> na chovatele z celkového počtu  v %</w:t>
            </w:r>
          </w:p>
        </w:tc>
        <w:tc>
          <w:tcPr>
            <w:tcW w:w="1560" w:type="dxa"/>
            <w:vMerge w:val="restart"/>
            <w:tcBorders>
              <w:top w:val="single" w:sz="12" w:space="0" w:color="auto"/>
              <w:left w:val="single" w:sz="4" w:space="0" w:color="auto"/>
              <w:bottom w:val="single" w:sz="12" w:space="0" w:color="000000"/>
              <w:right w:val="single" w:sz="12" w:space="0" w:color="auto"/>
            </w:tcBorders>
            <w:shd w:val="clear" w:color="auto" w:fill="auto"/>
            <w:vAlign w:val="center"/>
            <w:hideMark/>
          </w:tcPr>
          <w:p w14:paraId="78F6640E" w14:textId="77777777" w:rsidR="00AA3A5F" w:rsidRPr="00B25A22" w:rsidRDefault="00AA3A5F" w:rsidP="007A68D5">
            <w:pPr>
              <w:jc w:val="center"/>
              <w:rPr>
                <w:rFonts w:cs="Times New Roman"/>
                <w:b/>
                <w:bCs/>
                <w:sz w:val="20"/>
                <w:szCs w:val="20"/>
                <w:lang w:val="cs-CZ"/>
              </w:rPr>
            </w:pPr>
            <w:r w:rsidRPr="00B25A22">
              <w:rPr>
                <w:rFonts w:cs="Times New Roman"/>
                <w:b/>
                <w:bCs/>
                <w:sz w:val="20"/>
                <w:szCs w:val="20"/>
                <w:lang w:val="cs-CZ"/>
              </w:rPr>
              <w:t xml:space="preserve">Podíl chovatelů </w:t>
            </w:r>
            <w:r w:rsidRPr="00B25A22">
              <w:rPr>
                <w:rFonts w:cs="Times New Roman"/>
                <w:b/>
                <w:bCs/>
                <w:sz w:val="20"/>
                <w:szCs w:val="20"/>
                <w:lang w:val="cs-CZ"/>
              </w:rPr>
              <w:br/>
              <w:t>z celkového počtu v %</w:t>
            </w:r>
          </w:p>
        </w:tc>
      </w:tr>
      <w:tr w:rsidR="00AA3A5F" w:rsidRPr="000703B9" w14:paraId="60AC0C11" w14:textId="77777777" w:rsidTr="007A68D5">
        <w:trPr>
          <w:trHeight w:val="458"/>
        </w:trPr>
        <w:tc>
          <w:tcPr>
            <w:tcW w:w="1400" w:type="dxa"/>
            <w:vMerge/>
            <w:tcBorders>
              <w:top w:val="single" w:sz="12" w:space="0" w:color="auto"/>
              <w:left w:val="single" w:sz="12" w:space="0" w:color="auto"/>
              <w:bottom w:val="single" w:sz="12" w:space="0" w:color="000000"/>
              <w:right w:val="single" w:sz="4" w:space="0" w:color="auto"/>
            </w:tcBorders>
            <w:vAlign w:val="center"/>
            <w:hideMark/>
          </w:tcPr>
          <w:p w14:paraId="2BDA32E3" w14:textId="77777777" w:rsidR="00AA3A5F" w:rsidRPr="00B25A22" w:rsidRDefault="00AA3A5F" w:rsidP="007A68D5">
            <w:pPr>
              <w:jc w:val="left"/>
              <w:rPr>
                <w:rFonts w:cs="Times New Roman"/>
                <w:b/>
                <w:bCs/>
                <w:sz w:val="20"/>
                <w:szCs w:val="20"/>
                <w:lang w:val="cs-CZ"/>
              </w:rPr>
            </w:pPr>
          </w:p>
        </w:tc>
        <w:tc>
          <w:tcPr>
            <w:tcW w:w="1560" w:type="dxa"/>
            <w:vMerge/>
            <w:tcBorders>
              <w:top w:val="single" w:sz="12" w:space="0" w:color="auto"/>
              <w:left w:val="single" w:sz="4" w:space="0" w:color="auto"/>
              <w:bottom w:val="single" w:sz="12" w:space="0" w:color="000000"/>
              <w:right w:val="single" w:sz="4" w:space="0" w:color="auto"/>
            </w:tcBorders>
            <w:vAlign w:val="center"/>
            <w:hideMark/>
          </w:tcPr>
          <w:p w14:paraId="6CDF0561" w14:textId="77777777" w:rsidR="00AA3A5F" w:rsidRPr="00B25A22" w:rsidRDefault="00AA3A5F" w:rsidP="007A68D5">
            <w:pPr>
              <w:jc w:val="left"/>
              <w:rPr>
                <w:rFonts w:cs="Times New Roman"/>
                <w:b/>
                <w:bCs/>
                <w:sz w:val="20"/>
                <w:szCs w:val="20"/>
                <w:lang w:val="cs-CZ"/>
              </w:rPr>
            </w:pPr>
          </w:p>
        </w:tc>
        <w:tc>
          <w:tcPr>
            <w:tcW w:w="1560" w:type="dxa"/>
            <w:vMerge/>
            <w:tcBorders>
              <w:top w:val="single" w:sz="12" w:space="0" w:color="auto"/>
              <w:left w:val="single" w:sz="4" w:space="0" w:color="auto"/>
              <w:bottom w:val="single" w:sz="12" w:space="0" w:color="000000"/>
              <w:right w:val="single" w:sz="4" w:space="0" w:color="auto"/>
            </w:tcBorders>
            <w:vAlign w:val="center"/>
            <w:hideMark/>
          </w:tcPr>
          <w:p w14:paraId="42DE4F0D" w14:textId="77777777" w:rsidR="00AA3A5F" w:rsidRPr="00B25A22" w:rsidRDefault="00AA3A5F" w:rsidP="007A68D5">
            <w:pPr>
              <w:jc w:val="left"/>
              <w:rPr>
                <w:rFonts w:cs="Times New Roman"/>
                <w:b/>
                <w:bCs/>
                <w:sz w:val="20"/>
                <w:szCs w:val="20"/>
                <w:lang w:val="cs-CZ"/>
              </w:rPr>
            </w:pPr>
          </w:p>
        </w:tc>
        <w:tc>
          <w:tcPr>
            <w:tcW w:w="1560" w:type="dxa"/>
            <w:vMerge/>
            <w:tcBorders>
              <w:top w:val="single" w:sz="12" w:space="0" w:color="auto"/>
              <w:left w:val="single" w:sz="4" w:space="0" w:color="auto"/>
              <w:bottom w:val="single" w:sz="12" w:space="0" w:color="000000"/>
              <w:right w:val="single" w:sz="4" w:space="0" w:color="auto"/>
            </w:tcBorders>
            <w:vAlign w:val="center"/>
            <w:hideMark/>
          </w:tcPr>
          <w:p w14:paraId="658B8674" w14:textId="77777777" w:rsidR="00AA3A5F" w:rsidRPr="00B25A22" w:rsidRDefault="00AA3A5F" w:rsidP="007A68D5">
            <w:pPr>
              <w:jc w:val="left"/>
              <w:rPr>
                <w:rFonts w:cs="Times New Roman"/>
                <w:b/>
                <w:bCs/>
                <w:sz w:val="20"/>
                <w:szCs w:val="20"/>
                <w:lang w:val="cs-CZ"/>
              </w:rPr>
            </w:pPr>
          </w:p>
        </w:tc>
        <w:tc>
          <w:tcPr>
            <w:tcW w:w="1560" w:type="dxa"/>
            <w:vMerge/>
            <w:tcBorders>
              <w:top w:val="single" w:sz="12" w:space="0" w:color="auto"/>
              <w:left w:val="single" w:sz="4" w:space="0" w:color="auto"/>
              <w:bottom w:val="single" w:sz="12" w:space="0" w:color="000000"/>
              <w:right w:val="single" w:sz="4" w:space="0" w:color="auto"/>
            </w:tcBorders>
            <w:vAlign w:val="center"/>
            <w:hideMark/>
          </w:tcPr>
          <w:p w14:paraId="34B1FD16" w14:textId="77777777" w:rsidR="00AA3A5F" w:rsidRPr="00B25A22" w:rsidRDefault="00AA3A5F" w:rsidP="007A68D5">
            <w:pPr>
              <w:jc w:val="left"/>
              <w:rPr>
                <w:rFonts w:cs="Times New Roman"/>
                <w:b/>
                <w:bCs/>
                <w:sz w:val="20"/>
                <w:szCs w:val="20"/>
                <w:lang w:val="cs-CZ"/>
              </w:rPr>
            </w:pPr>
          </w:p>
        </w:tc>
        <w:tc>
          <w:tcPr>
            <w:tcW w:w="1560" w:type="dxa"/>
            <w:vMerge/>
            <w:tcBorders>
              <w:top w:val="single" w:sz="12" w:space="0" w:color="auto"/>
              <w:left w:val="single" w:sz="4" w:space="0" w:color="auto"/>
              <w:bottom w:val="single" w:sz="12" w:space="0" w:color="000000"/>
              <w:right w:val="single" w:sz="12" w:space="0" w:color="auto"/>
            </w:tcBorders>
            <w:vAlign w:val="center"/>
            <w:hideMark/>
          </w:tcPr>
          <w:p w14:paraId="2B4712E1" w14:textId="77777777" w:rsidR="00AA3A5F" w:rsidRPr="00B25A22" w:rsidRDefault="00AA3A5F" w:rsidP="007A68D5">
            <w:pPr>
              <w:jc w:val="left"/>
              <w:rPr>
                <w:rFonts w:cs="Times New Roman"/>
                <w:b/>
                <w:bCs/>
                <w:sz w:val="20"/>
                <w:szCs w:val="20"/>
                <w:lang w:val="cs-CZ"/>
              </w:rPr>
            </w:pPr>
          </w:p>
        </w:tc>
      </w:tr>
      <w:tr w:rsidR="00AA3A5F" w:rsidRPr="000703B9" w14:paraId="30E44977" w14:textId="77777777" w:rsidTr="007A68D5">
        <w:trPr>
          <w:trHeight w:val="458"/>
        </w:trPr>
        <w:tc>
          <w:tcPr>
            <w:tcW w:w="1400" w:type="dxa"/>
            <w:vMerge/>
            <w:tcBorders>
              <w:top w:val="single" w:sz="12" w:space="0" w:color="auto"/>
              <w:left w:val="single" w:sz="12" w:space="0" w:color="auto"/>
              <w:bottom w:val="single" w:sz="12" w:space="0" w:color="000000"/>
              <w:right w:val="single" w:sz="4" w:space="0" w:color="auto"/>
            </w:tcBorders>
            <w:vAlign w:val="center"/>
            <w:hideMark/>
          </w:tcPr>
          <w:p w14:paraId="4357C935" w14:textId="77777777" w:rsidR="00AA3A5F" w:rsidRPr="00B25A22" w:rsidRDefault="00AA3A5F" w:rsidP="007A68D5">
            <w:pPr>
              <w:jc w:val="left"/>
              <w:rPr>
                <w:rFonts w:cs="Times New Roman"/>
                <w:b/>
                <w:bCs/>
                <w:sz w:val="20"/>
                <w:szCs w:val="20"/>
                <w:lang w:val="cs-CZ"/>
              </w:rPr>
            </w:pPr>
          </w:p>
        </w:tc>
        <w:tc>
          <w:tcPr>
            <w:tcW w:w="1560" w:type="dxa"/>
            <w:vMerge/>
            <w:tcBorders>
              <w:top w:val="single" w:sz="12" w:space="0" w:color="auto"/>
              <w:left w:val="single" w:sz="4" w:space="0" w:color="auto"/>
              <w:bottom w:val="single" w:sz="12" w:space="0" w:color="000000"/>
              <w:right w:val="single" w:sz="4" w:space="0" w:color="auto"/>
            </w:tcBorders>
            <w:vAlign w:val="center"/>
            <w:hideMark/>
          </w:tcPr>
          <w:p w14:paraId="19CED8B6" w14:textId="77777777" w:rsidR="00AA3A5F" w:rsidRPr="00B25A22" w:rsidRDefault="00AA3A5F" w:rsidP="007A68D5">
            <w:pPr>
              <w:jc w:val="left"/>
              <w:rPr>
                <w:rFonts w:cs="Times New Roman"/>
                <w:b/>
                <w:bCs/>
                <w:sz w:val="20"/>
                <w:szCs w:val="20"/>
                <w:lang w:val="cs-CZ"/>
              </w:rPr>
            </w:pPr>
          </w:p>
        </w:tc>
        <w:tc>
          <w:tcPr>
            <w:tcW w:w="1560" w:type="dxa"/>
            <w:vMerge/>
            <w:tcBorders>
              <w:top w:val="single" w:sz="12" w:space="0" w:color="auto"/>
              <w:left w:val="single" w:sz="4" w:space="0" w:color="auto"/>
              <w:bottom w:val="single" w:sz="12" w:space="0" w:color="000000"/>
              <w:right w:val="single" w:sz="4" w:space="0" w:color="auto"/>
            </w:tcBorders>
            <w:vAlign w:val="center"/>
            <w:hideMark/>
          </w:tcPr>
          <w:p w14:paraId="2F5C8B85" w14:textId="77777777" w:rsidR="00AA3A5F" w:rsidRPr="00B25A22" w:rsidRDefault="00AA3A5F" w:rsidP="007A68D5">
            <w:pPr>
              <w:jc w:val="left"/>
              <w:rPr>
                <w:rFonts w:cs="Times New Roman"/>
                <w:b/>
                <w:bCs/>
                <w:sz w:val="20"/>
                <w:szCs w:val="20"/>
                <w:lang w:val="cs-CZ"/>
              </w:rPr>
            </w:pPr>
          </w:p>
        </w:tc>
        <w:tc>
          <w:tcPr>
            <w:tcW w:w="1560" w:type="dxa"/>
            <w:vMerge/>
            <w:tcBorders>
              <w:top w:val="single" w:sz="12" w:space="0" w:color="auto"/>
              <w:left w:val="single" w:sz="4" w:space="0" w:color="auto"/>
              <w:bottom w:val="single" w:sz="12" w:space="0" w:color="000000"/>
              <w:right w:val="single" w:sz="4" w:space="0" w:color="auto"/>
            </w:tcBorders>
            <w:vAlign w:val="center"/>
            <w:hideMark/>
          </w:tcPr>
          <w:p w14:paraId="0C613926" w14:textId="77777777" w:rsidR="00AA3A5F" w:rsidRPr="00B25A22" w:rsidRDefault="00AA3A5F" w:rsidP="007A68D5">
            <w:pPr>
              <w:jc w:val="left"/>
              <w:rPr>
                <w:rFonts w:cs="Times New Roman"/>
                <w:b/>
                <w:bCs/>
                <w:sz w:val="20"/>
                <w:szCs w:val="20"/>
                <w:lang w:val="cs-CZ"/>
              </w:rPr>
            </w:pPr>
          </w:p>
        </w:tc>
        <w:tc>
          <w:tcPr>
            <w:tcW w:w="1560" w:type="dxa"/>
            <w:vMerge/>
            <w:tcBorders>
              <w:top w:val="single" w:sz="12" w:space="0" w:color="auto"/>
              <w:left w:val="single" w:sz="4" w:space="0" w:color="auto"/>
              <w:bottom w:val="single" w:sz="12" w:space="0" w:color="000000"/>
              <w:right w:val="single" w:sz="4" w:space="0" w:color="auto"/>
            </w:tcBorders>
            <w:vAlign w:val="center"/>
            <w:hideMark/>
          </w:tcPr>
          <w:p w14:paraId="08DA1364" w14:textId="77777777" w:rsidR="00AA3A5F" w:rsidRPr="00B25A22" w:rsidRDefault="00AA3A5F" w:rsidP="007A68D5">
            <w:pPr>
              <w:jc w:val="left"/>
              <w:rPr>
                <w:rFonts w:cs="Times New Roman"/>
                <w:b/>
                <w:bCs/>
                <w:sz w:val="20"/>
                <w:szCs w:val="20"/>
                <w:lang w:val="cs-CZ"/>
              </w:rPr>
            </w:pPr>
          </w:p>
        </w:tc>
        <w:tc>
          <w:tcPr>
            <w:tcW w:w="1560" w:type="dxa"/>
            <w:vMerge/>
            <w:tcBorders>
              <w:top w:val="single" w:sz="12" w:space="0" w:color="auto"/>
              <w:left w:val="single" w:sz="4" w:space="0" w:color="auto"/>
              <w:bottom w:val="single" w:sz="12" w:space="0" w:color="000000"/>
              <w:right w:val="single" w:sz="12" w:space="0" w:color="auto"/>
            </w:tcBorders>
            <w:vAlign w:val="center"/>
            <w:hideMark/>
          </w:tcPr>
          <w:p w14:paraId="312699BA" w14:textId="77777777" w:rsidR="00AA3A5F" w:rsidRPr="00B25A22" w:rsidRDefault="00AA3A5F" w:rsidP="007A68D5">
            <w:pPr>
              <w:jc w:val="left"/>
              <w:rPr>
                <w:rFonts w:cs="Times New Roman"/>
                <w:b/>
                <w:bCs/>
                <w:sz w:val="20"/>
                <w:szCs w:val="20"/>
                <w:lang w:val="cs-CZ"/>
              </w:rPr>
            </w:pPr>
          </w:p>
        </w:tc>
      </w:tr>
      <w:tr w:rsidR="00AA3A5F" w:rsidRPr="00B25A22" w14:paraId="7C526E17" w14:textId="77777777" w:rsidTr="007A68D5">
        <w:trPr>
          <w:trHeight w:val="270"/>
        </w:trPr>
        <w:tc>
          <w:tcPr>
            <w:tcW w:w="1400" w:type="dxa"/>
            <w:tcBorders>
              <w:top w:val="nil"/>
              <w:left w:val="single" w:sz="12" w:space="0" w:color="auto"/>
              <w:bottom w:val="single" w:sz="4" w:space="0" w:color="auto"/>
              <w:right w:val="single" w:sz="4" w:space="0" w:color="auto"/>
            </w:tcBorders>
            <w:shd w:val="clear" w:color="auto" w:fill="auto"/>
            <w:noWrap/>
            <w:vAlign w:val="center"/>
            <w:hideMark/>
          </w:tcPr>
          <w:p w14:paraId="40E32C5A"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1 - 10 ks</w:t>
            </w:r>
          </w:p>
        </w:tc>
        <w:tc>
          <w:tcPr>
            <w:tcW w:w="1560" w:type="dxa"/>
            <w:tcBorders>
              <w:top w:val="nil"/>
              <w:left w:val="nil"/>
              <w:bottom w:val="single" w:sz="4" w:space="0" w:color="auto"/>
              <w:right w:val="single" w:sz="4" w:space="0" w:color="auto"/>
            </w:tcBorders>
            <w:shd w:val="clear" w:color="auto" w:fill="auto"/>
            <w:noWrap/>
            <w:vAlign w:val="center"/>
            <w:hideMark/>
          </w:tcPr>
          <w:p w14:paraId="66295588"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9 454</w:t>
            </w:r>
          </w:p>
        </w:tc>
        <w:tc>
          <w:tcPr>
            <w:tcW w:w="1560" w:type="dxa"/>
            <w:tcBorders>
              <w:top w:val="nil"/>
              <w:left w:val="nil"/>
              <w:bottom w:val="single" w:sz="4" w:space="0" w:color="auto"/>
              <w:right w:val="single" w:sz="4" w:space="0" w:color="auto"/>
            </w:tcBorders>
            <w:shd w:val="clear" w:color="auto" w:fill="auto"/>
            <w:noWrap/>
            <w:vAlign w:val="bottom"/>
            <w:hideMark/>
          </w:tcPr>
          <w:p w14:paraId="5AC31E44"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34 902</w:t>
            </w:r>
          </w:p>
        </w:tc>
        <w:tc>
          <w:tcPr>
            <w:tcW w:w="1560" w:type="dxa"/>
            <w:tcBorders>
              <w:top w:val="nil"/>
              <w:left w:val="nil"/>
              <w:bottom w:val="single" w:sz="4" w:space="0" w:color="auto"/>
              <w:right w:val="single" w:sz="4" w:space="0" w:color="auto"/>
            </w:tcBorders>
            <w:shd w:val="clear" w:color="auto" w:fill="auto"/>
            <w:noWrap/>
            <w:hideMark/>
          </w:tcPr>
          <w:p w14:paraId="0A6D0B12" w14:textId="77777777" w:rsidR="00AA3A5F" w:rsidRPr="00B25A22" w:rsidRDefault="00AA3A5F" w:rsidP="007A68D5">
            <w:pPr>
              <w:ind w:right="500"/>
              <w:jc w:val="right"/>
              <w:rPr>
                <w:rFonts w:cs="Times New Roman"/>
                <w:sz w:val="20"/>
                <w:szCs w:val="20"/>
                <w:lang w:val="cs-CZ"/>
              </w:rPr>
            </w:pPr>
            <w:r w:rsidRPr="00B25A22">
              <w:rPr>
                <w:rFonts w:cs="Times New Roman"/>
                <w:color w:val="000000"/>
                <w:sz w:val="20"/>
                <w:szCs w:val="20"/>
                <w:lang w:val="cs-CZ"/>
              </w:rPr>
              <w:t>4</w:t>
            </w:r>
          </w:p>
        </w:tc>
        <w:tc>
          <w:tcPr>
            <w:tcW w:w="1560" w:type="dxa"/>
            <w:tcBorders>
              <w:top w:val="nil"/>
              <w:left w:val="nil"/>
              <w:bottom w:val="single" w:sz="4" w:space="0" w:color="auto"/>
              <w:right w:val="single" w:sz="4" w:space="0" w:color="auto"/>
            </w:tcBorders>
            <w:shd w:val="clear" w:color="auto" w:fill="auto"/>
            <w:noWrap/>
            <w:vAlign w:val="center"/>
            <w:hideMark/>
          </w:tcPr>
          <w:p w14:paraId="144E6864"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2,1</w:t>
            </w:r>
          </w:p>
        </w:tc>
        <w:tc>
          <w:tcPr>
            <w:tcW w:w="1560" w:type="dxa"/>
            <w:tcBorders>
              <w:top w:val="nil"/>
              <w:left w:val="nil"/>
              <w:bottom w:val="single" w:sz="4" w:space="0" w:color="auto"/>
              <w:right w:val="single" w:sz="12" w:space="0" w:color="auto"/>
            </w:tcBorders>
            <w:shd w:val="clear" w:color="auto" w:fill="auto"/>
            <w:noWrap/>
            <w:vAlign w:val="center"/>
            <w:hideMark/>
          </w:tcPr>
          <w:p w14:paraId="1F07764F" w14:textId="77777777" w:rsidR="00AA3A5F" w:rsidRPr="00B25A22" w:rsidRDefault="00AA3A5F" w:rsidP="007A68D5">
            <w:pPr>
              <w:ind w:right="500"/>
              <w:jc w:val="right"/>
              <w:rPr>
                <w:rFonts w:cs="Times New Roman"/>
                <w:color w:val="000000"/>
                <w:sz w:val="20"/>
                <w:szCs w:val="20"/>
                <w:lang w:val="cs-CZ"/>
              </w:rPr>
            </w:pPr>
            <w:r w:rsidRPr="00B25A22">
              <w:rPr>
                <w:rFonts w:cs="Times New Roman"/>
                <w:color w:val="000000"/>
                <w:sz w:val="20"/>
                <w:szCs w:val="20"/>
                <w:lang w:val="cs-CZ"/>
              </w:rPr>
              <w:t>52,4</w:t>
            </w:r>
          </w:p>
        </w:tc>
      </w:tr>
      <w:tr w:rsidR="00AA3A5F" w:rsidRPr="00B25A22" w14:paraId="347D7B28" w14:textId="77777777" w:rsidTr="007A68D5">
        <w:trPr>
          <w:trHeight w:val="255"/>
        </w:trPr>
        <w:tc>
          <w:tcPr>
            <w:tcW w:w="1400" w:type="dxa"/>
            <w:tcBorders>
              <w:top w:val="nil"/>
              <w:left w:val="single" w:sz="12" w:space="0" w:color="auto"/>
              <w:bottom w:val="single" w:sz="4" w:space="0" w:color="auto"/>
              <w:right w:val="single" w:sz="4" w:space="0" w:color="auto"/>
            </w:tcBorders>
            <w:shd w:val="clear" w:color="auto" w:fill="auto"/>
            <w:noWrap/>
            <w:vAlign w:val="center"/>
            <w:hideMark/>
          </w:tcPr>
          <w:p w14:paraId="01566DCF"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11 - 50 ks</w:t>
            </w:r>
          </w:p>
        </w:tc>
        <w:tc>
          <w:tcPr>
            <w:tcW w:w="1560" w:type="dxa"/>
            <w:tcBorders>
              <w:top w:val="nil"/>
              <w:left w:val="nil"/>
              <w:bottom w:val="single" w:sz="4" w:space="0" w:color="auto"/>
              <w:right w:val="single" w:sz="4" w:space="0" w:color="auto"/>
            </w:tcBorders>
            <w:shd w:val="clear" w:color="auto" w:fill="auto"/>
            <w:noWrap/>
            <w:vAlign w:val="center"/>
            <w:hideMark/>
          </w:tcPr>
          <w:p w14:paraId="6BBF3EA4"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4 872</w:t>
            </w:r>
          </w:p>
        </w:tc>
        <w:tc>
          <w:tcPr>
            <w:tcW w:w="1560" w:type="dxa"/>
            <w:tcBorders>
              <w:top w:val="nil"/>
              <w:left w:val="nil"/>
              <w:bottom w:val="single" w:sz="4" w:space="0" w:color="auto"/>
              <w:right w:val="single" w:sz="4" w:space="0" w:color="auto"/>
            </w:tcBorders>
            <w:shd w:val="clear" w:color="auto" w:fill="auto"/>
            <w:noWrap/>
            <w:vAlign w:val="bottom"/>
            <w:hideMark/>
          </w:tcPr>
          <w:p w14:paraId="22D30C5F"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121 536</w:t>
            </w:r>
          </w:p>
        </w:tc>
        <w:tc>
          <w:tcPr>
            <w:tcW w:w="1560" w:type="dxa"/>
            <w:tcBorders>
              <w:top w:val="nil"/>
              <w:left w:val="nil"/>
              <w:bottom w:val="single" w:sz="4" w:space="0" w:color="auto"/>
              <w:right w:val="single" w:sz="4" w:space="0" w:color="auto"/>
            </w:tcBorders>
            <w:shd w:val="clear" w:color="auto" w:fill="auto"/>
            <w:noWrap/>
            <w:hideMark/>
          </w:tcPr>
          <w:p w14:paraId="158E6205" w14:textId="77777777" w:rsidR="00AA3A5F" w:rsidRPr="00B25A22" w:rsidRDefault="00AA3A5F" w:rsidP="007A68D5">
            <w:pPr>
              <w:ind w:right="500"/>
              <w:jc w:val="right"/>
              <w:rPr>
                <w:rFonts w:cs="Times New Roman"/>
                <w:sz w:val="20"/>
                <w:szCs w:val="20"/>
                <w:lang w:val="cs-CZ"/>
              </w:rPr>
            </w:pPr>
            <w:r w:rsidRPr="00B25A22">
              <w:rPr>
                <w:rFonts w:cs="Times New Roman"/>
                <w:color w:val="000000"/>
                <w:sz w:val="20"/>
                <w:szCs w:val="20"/>
                <w:lang w:val="cs-CZ"/>
              </w:rPr>
              <w:t>25</w:t>
            </w:r>
          </w:p>
        </w:tc>
        <w:tc>
          <w:tcPr>
            <w:tcW w:w="1560" w:type="dxa"/>
            <w:tcBorders>
              <w:top w:val="nil"/>
              <w:left w:val="nil"/>
              <w:bottom w:val="single" w:sz="4" w:space="0" w:color="auto"/>
              <w:right w:val="single" w:sz="4" w:space="0" w:color="auto"/>
            </w:tcBorders>
            <w:shd w:val="clear" w:color="auto" w:fill="auto"/>
            <w:noWrap/>
            <w:vAlign w:val="center"/>
            <w:hideMark/>
          </w:tcPr>
          <w:p w14:paraId="12531490"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7,3</w:t>
            </w:r>
          </w:p>
        </w:tc>
        <w:tc>
          <w:tcPr>
            <w:tcW w:w="1560" w:type="dxa"/>
            <w:tcBorders>
              <w:top w:val="nil"/>
              <w:left w:val="nil"/>
              <w:bottom w:val="single" w:sz="4" w:space="0" w:color="auto"/>
              <w:right w:val="single" w:sz="12" w:space="0" w:color="auto"/>
            </w:tcBorders>
            <w:shd w:val="clear" w:color="auto" w:fill="auto"/>
            <w:noWrap/>
            <w:vAlign w:val="center"/>
            <w:hideMark/>
          </w:tcPr>
          <w:p w14:paraId="18489B60" w14:textId="77777777" w:rsidR="00AA3A5F" w:rsidRPr="00B25A22" w:rsidRDefault="00AA3A5F" w:rsidP="007A68D5">
            <w:pPr>
              <w:ind w:right="500"/>
              <w:jc w:val="right"/>
              <w:rPr>
                <w:rFonts w:cs="Times New Roman"/>
                <w:color w:val="000000"/>
                <w:sz w:val="20"/>
                <w:szCs w:val="20"/>
                <w:lang w:val="cs-CZ"/>
              </w:rPr>
            </w:pPr>
            <w:r w:rsidRPr="00B25A22">
              <w:rPr>
                <w:rFonts w:cs="Times New Roman"/>
                <w:color w:val="000000"/>
                <w:sz w:val="20"/>
                <w:szCs w:val="20"/>
                <w:lang w:val="cs-CZ"/>
              </w:rPr>
              <w:t>27,0</w:t>
            </w:r>
          </w:p>
        </w:tc>
      </w:tr>
      <w:tr w:rsidR="00AA3A5F" w:rsidRPr="00B25A22" w14:paraId="4451D469" w14:textId="77777777" w:rsidTr="007A68D5">
        <w:trPr>
          <w:trHeight w:val="255"/>
        </w:trPr>
        <w:tc>
          <w:tcPr>
            <w:tcW w:w="1400" w:type="dxa"/>
            <w:tcBorders>
              <w:top w:val="nil"/>
              <w:left w:val="single" w:sz="12" w:space="0" w:color="auto"/>
              <w:bottom w:val="single" w:sz="4" w:space="0" w:color="auto"/>
              <w:right w:val="single" w:sz="4" w:space="0" w:color="auto"/>
            </w:tcBorders>
            <w:shd w:val="clear" w:color="auto" w:fill="auto"/>
            <w:noWrap/>
            <w:vAlign w:val="center"/>
            <w:hideMark/>
          </w:tcPr>
          <w:p w14:paraId="4CEA79BC"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51 - 200 ks</w:t>
            </w:r>
          </w:p>
        </w:tc>
        <w:tc>
          <w:tcPr>
            <w:tcW w:w="1560" w:type="dxa"/>
            <w:tcBorders>
              <w:top w:val="nil"/>
              <w:left w:val="nil"/>
              <w:bottom w:val="single" w:sz="4" w:space="0" w:color="auto"/>
              <w:right w:val="single" w:sz="4" w:space="0" w:color="auto"/>
            </w:tcBorders>
            <w:shd w:val="clear" w:color="auto" w:fill="auto"/>
            <w:noWrap/>
            <w:vAlign w:val="center"/>
            <w:hideMark/>
          </w:tcPr>
          <w:p w14:paraId="5A4CF0B8"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2 149</w:t>
            </w:r>
          </w:p>
        </w:tc>
        <w:tc>
          <w:tcPr>
            <w:tcW w:w="1560" w:type="dxa"/>
            <w:tcBorders>
              <w:top w:val="nil"/>
              <w:left w:val="nil"/>
              <w:bottom w:val="single" w:sz="4" w:space="0" w:color="auto"/>
              <w:right w:val="single" w:sz="4" w:space="0" w:color="auto"/>
            </w:tcBorders>
            <w:shd w:val="clear" w:color="auto" w:fill="auto"/>
            <w:noWrap/>
            <w:vAlign w:val="bottom"/>
            <w:hideMark/>
          </w:tcPr>
          <w:p w14:paraId="54BBB15D"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210 148</w:t>
            </w:r>
          </w:p>
        </w:tc>
        <w:tc>
          <w:tcPr>
            <w:tcW w:w="1560" w:type="dxa"/>
            <w:tcBorders>
              <w:top w:val="nil"/>
              <w:left w:val="nil"/>
              <w:bottom w:val="single" w:sz="4" w:space="0" w:color="auto"/>
              <w:right w:val="single" w:sz="4" w:space="0" w:color="auto"/>
            </w:tcBorders>
            <w:shd w:val="clear" w:color="auto" w:fill="auto"/>
            <w:noWrap/>
            <w:hideMark/>
          </w:tcPr>
          <w:p w14:paraId="3F90138D" w14:textId="77777777" w:rsidR="00AA3A5F" w:rsidRPr="00B25A22" w:rsidRDefault="00AA3A5F" w:rsidP="007A68D5">
            <w:pPr>
              <w:ind w:right="500"/>
              <w:jc w:val="right"/>
              <w:rPr>
                <w:rFonts w:cs="Times New Roman"/>
                <w:sz w:val="20"/>
                <w:szCs w:val="20"/>
                <w:lang w:val="cs-CZ"/>
              </w:rPr>
            </w:pPr>
            <w:r w:rsidRPr="00B25A22">
              <w:rPr>
                <w:rFonts w:cs="Times New Roman"/>
                <w:color w:val="000000"/>
                <w:sz w:val="20"/>
                <w:szCs w:val="20"/>
                <w:lang w:val="cs-CZ"/>
              </w:rPr>
              <w:t>98</w:t>
            </w:r>
          </w:p>
        </w:tc>
        <w:tc>
          <w:tcPr>
            <w:tcW w:w="1560" w:type="dxa"/>
            <w:tcBorders>
              <w:top w:val="nil"/>
              <w:left w:val="nil"/>
              <w:bottom w:val="single" w:sz="4" w:space="0" w:color="auto"/>
              <w:right w:val="single" w:sz="4" w:space="0" w:color="auto"/>
            </w:tcBorders>
            <w:shd w:val="clear" w:color="auto" w:fill="auto"/>
            <w:noWrap/>
            <w:vAlign w:val="center"/>
            <w:hideMark/>
          </w:tcPr>
          <w:p w14:paraId="154AEF1A"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12,7</w:t>
            </w:r>
          </w:p>
        </w:tc>
        <w:tc>
          <w:tcPr>
            <w:tcW w:w="1560" w:type="dxa"/>
            <w:tcBorders>
              <w:top w:val="nil"/>
              <w:left w:val="nil"/>
              <w:bottom w:val="single" w:sz="4" w:space="0" w:color="auto"/>
              <w:right w:val="single" w:sz="12" w:space="0" w:color="auto"/>
            </w:tcBorders>
            <w:shd w:val="clear" w:color="auto" w:fill="auto"/>
            <w:noWrap/>
            <w:vAlign w:val="center"/>
            <w:hideMark/>
          </w:tcPr>
          <w:p w14:paraId="76C37AFB" w14:textId="77777777" w:rsidR="00AA3A5F" w:rsidRPr="00B25A22" w:rsidRDefault="00AA3A5F" w:rsidP="007A68D5">
            <w:pPr>
              <w:ind w:right="500"/>
              <w:jc w:val="right"/>
              <w:rPr>
                <w:rFonts w:cs="Times New Roman"/>
                <w:color w:val="000000"/>
                <w:sz w:val="20"/>
                <w:szCs w:val="20"/>
                <w:lang w:val="cs-CZ"/>
              </w:rPr>
            </w:pPr>
            <w:r w:rsidRPr="00B25A22">
              <w:rPr>
                <w:rFonts w:cs="Times New Roman"/>
                <w:color w:val="000000"/>
                <w:sz w:val="20"/>
                <w:szCs w:val="20"/>
                <w:lang w:val="cs-CZ"/>
              </w:rPr>
              <w:t>11,9</w:t>
            </w:r>
          </w:p>
        </w:tc>
      </w:tr>
      <w:tr w:rsidR="00AA3A5F" w:rsidRPr="00B25A22" w14:paraId="28A78B54" w14:textId="77777777" w:rsidTr="007A68D5">
        <w:trPr>
          <w:trHeight w:val="255"/>
        </w:trPr>
        <w:tc>
          <w:tcPr>
            <w:tcW w:w="1400" w:type="dxa"/>
            <w:tcBorders>
              <w:top w:val="nil"/>
              <w:left w:val="single" w:sz="12" w:space="0" w:color="auto"/>
              <w:bottom w:val="single" w:sz="4" w:space="0" w:color="auto"/>
              <w:right w:val="single" w:sz="4" w:space="0" w:color="auto"/>
            </w:tcBorders>
            <w:shd w:val="clear" w:color="auto" w:fill="auto"/>
            <w:noWrap/>
            <w:vAlign w:val="center"/>
            <w:hideMark/>
          </w:tcPr>
          <w:p w14:paraId="124EA946"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201 - 500 ks</w:t>
            </w:r>
          </w:p>
        </w:tc>
        <w:tc>
          <w:tcPr>
            <w:tcW w:w="1560" w:type="dxa"/>
            <w:tcBorders>
              <w:top w:val="nil"/>
              <w:left w:val="nil"/>
              <w:bottom w:val="single" w:sz="4" w:space="0" w:color="auto"/>
              <w:right w:val="single" w:sz="4" w:space="0" w:color="auto"/>
            </w:tcBorders>
            <w:shd w:val="clear" w:color="auto" w:fill="auto"/>
            <w:noWrap/>
            <w:vAlign w:val="center"/>
            <w:hideMark/>
          </w:tcPr>
          <w:p w14:paraId="6EC08FD5"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686</w:t>
            </w:r>
          </w:p>
        </w:tc>
        <w:tc>
          <w:tcPr>
            <w:tcW w:w="1560" w:type="dxa"/>
            <w:tcBorders>
              <w:top w:val="nil"/>
              <w:left w:val="nil"/>
              <w:bottom w:val="single" w:sz="4" w:space="0" w:color="auto"/>
              <w:right w:val="single" w:sz="4" w:space="0" w:color="auto"/>
            </w:tcBorders>
            <w:shd w:val="clear" w:color="auto" w:fill="auto"/>
            <w:noWrap/>
            <w:vAlign w:val="bottom"/>
            <w:hideMark/>
          </w:tcPr>
          <w:p w14:paraId="6C5AE16D"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219 887</w:t>
            </w:r>
          </w:p>
        </w:tc>
        <w:tc>
          <w:tcPr>
            <w:tcW w:w="1560" w:type="dxa"/>
            <w:tcBorders>
              <w:top w:val="nil"/>
              <w:left w:val="nil"/>
              <w:bottom w:val="single" w:sz="4" w:space="0" w:color="auto"/>
              <w:right w:val="single" w:sz="4" w:space="0" w:color="auto"/>
            </w:tcBorders>
            <w:shd w:val="clear" w:color="auto" w:fill="auto"/>
            <w:noWrap/>
            <w:hideMark/>
          </w:tcPr>
          <w:p w14:paraId="758706F5" w14:textId="77777777" w:rsidR="00AA3A5F" w:rsidRPr="00B25A22" w:rsidRDefault="00AA3A5F" w:rsidP="007A68D5">
            <w:pPr>
              <w:ind w:right="500"/>
              <w:jc w:val="right"/>
              <w:rPr>
                <w:rFonts w:cs="Times New Roman"/>
                <w:sz w:val="20"/>
                <w:szCs w:val="20"/>
                <w:lang w:val="cs-CZ"/>
              </w:rPr>
            </w:pPr>
            <w:r w:rsidRPr="00B25A22">
              <w:rPr>
                <w:rFonts w:cs="Times New Roman"/>
                <w:color w:val="000000"/>
                <w:sz w:val="20"/>
                <w:szCs w:val="20"/>
                <w:lang w:val="cs-CZ"/>
              </w:rPr>
              <w:t>321</w:t>
            </w:r>
          </w:p>
        </w:tc>
        <w:tc>
          <w:tcPr>
            <w:tcW w:w="1560" w:type="dxa"/>
            <w:tcBorders>
              <w:top w:val="nil"/>
              <w:left w:val="nil"/>
              <w:bottom w:val="single" w:sz="4" w:space="0" w:color="auto"/>
              <w:right w:val="single" w:sz="4" w:space="0" w:color="auto"/>
            </w:tcBorders>
            <w:shd w:val="clear" w:color="auto" w:fill="auto"/>
            <w:noWrap/>
            <w:vAlign w:val="center"/>
            <w:hideMark/>
          </w:tcPr>
          <w:p w14:paraId="5822E8A7"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13,3</w:t>
            </w:r>
          </w:p>
        </w:tc>
        <w:tc>
          <w:tcPr>
            <w:tcW w:w="1560" w:type="dxa"/>
            <w:tcBorders>
              <w:top w:val="nil"/>
              <w:left w:val="nil"/>
              <w:bottom w:val="single" w:sz="4" w:space="0" w:color="auto"/>
              <w:right w:val="single" w:sz="12" w:space="0" w:color="auto"/>
            </w:tcBorders>
            <w:shd w:val="clear" w:color="auto" w:fill="auto"/>
            <w:noWrap/>
            <w:vAlign w:val="center"/>
            <w:hideMark/>
          </w:tcPr>
          <w:p w14:paraId="4E442E0D" w14:textId="77777777" w:rsidR="00AA3A5F" w:rsidRPr="00B25A22" w:rsidRDefault="00AA3A5F" w:rsidP="007A68D5">
            <w:pPr>
              <w:ind w:right="500"/>
              <w:jc w:val="right"/>
              <w:rPr>
                <w:rFonts w:cs="Times New Roman"/>
                <w:color w:val="000000"/>
                <w:sz w:val="20"/>
                <w:szCs w:val="20"/>
                <w:lang w:val="cs-CZ"/>
              </w:rPr>
            </w:pPr>
            <w:r w:rsidRPr="00B25A22">
              <w:rPr>
                <w:rFonts w:cs="Times New Roman"/>
                <w:color w:val="000000"/>
                <w:sz w:val="20"/>
                <w:szCs w:val="20"/>
                <w:lang w:val="cs-CZ"/>
              </w:rPr>
              <w:t>3,8</w:t>
            </w:r>
          </w:p>
        </w:tc>
      </w:tr>
      <w:tr w:rsidR="00AA3A5F" w:rsidRPr="00B25A22" w14:paraId="07225B3A" w14:textId="77777777" w:rsidTr="007A68D5">
        <w:trPr>
          <w:trHeight w:val="255"/>
        </w:trPr>
        <w:tc>
          <w:tcPr>
            <w:tcW w:w="1400" w:type="dxa"/>
            <w:tcBorders>
              <w:top w:val="nil"/>
              <w:left w:val="single" w:sz="12" w:space="0" w:color="auto"/>
              <w:bottom w:val="single" w:sz="4" w:space="0" w:color="auto"/>
              <w:right w:val="single" w:sz="4" w:space="0" w:color="auto"/>
            </w:tcBorders>
            <w:shd w:val="clear" w:color="auto" w:fill="auto"/>
            <w:noWrap/>
            <w:vAlign w:val="center"/>
            <w:hideMark/>
          </w:tcPr>
          <w:p w14:paraId="3E98F0DB"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501 – 1 000 ks</w:t>
            </w:r>
          </w:p>
        </w:tc>
        <w:tc>
          <w:tcPr>
            <w:tcW w:w="1560" w:type="dxa"/>
            <w:tcBorders>
              <w:top w:val="nil"/>
              <w:left w:val="nil"/>
              <w:bottom w:val="single" w:sz="4" w:space="0" w:color="auto"/>
              <w:right w:val="single" w:sz="4" w:space="0" w:color="auto"/>
            </w:tcBorders>
            <w:shd w:val="clear" w:color="auto" w:fill="auto"/>
            <w:noWrap/>
            <w:vAlign w:val="center"/>
            <w:hideMark/>
          </w:tcPr>
          <w:p w14:paraId="0C5CC526"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436</w:t>
            </w:r>
          </w:p>
        </w:tc>
        <w:tc>
          <w:tcPr>
            <w:tcW w:w="1560" w:type="dxa"/>
            <w:tcBorders>
              <w:top w:val="nil"/>
              <w:left w:val="nil"/>
              <w:bottom w:val="single" w:sz="4" w:space="0" w:color="auto"/>
              <w:right w:val="single" w:sz="4" w:space="0" w:color="auto"/>
            </w:tcBorders>
            <w:shd w:val="clear" w:color="auto" w:fill="auto"/>
            <w:noWrap/>
            <w:vAlign w:val="bottom"/>
            <w:hideMark/>
          </w:tcPr>
          <w:p w14:paraId="5E03F023"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308 995</w:t>
            </w:r>
          </w:p>
        </w:tc>
        <w:tc>
          <w:tcPr>
            <w:tcW w:w="1560" w:type="dxa"/>
            <w:tcBorders>
              <w:top w:val="nil"/>
              <w:left w:val="nil"/>
              <w:bottom w:val="single" w:sz="4" w:space="0" w:color="auto"/>
              <w:right w:val="single" w:sz="4" w:space="0" w:color="auto"/>
            </w:tcBorders>
            <w:shd w:val="clear" w:color="auto" w:fill="auto"/>
            <w:noWrap/>
            <w:hideMark/>
          </w:tcPr>
          <w:p w14:paraId="5820446F" w14:textId="77777777" w:rsidR="00AA3A5F" w:rsidRPr="00B25A22" w:rsidRDefault="00AA3A5F" w:rsidP="007A68D5">
            <w:pPr>
              <w:ind w:right="500"/>
              <w:jc w:val="right"/>
              <w:rPr>
                <w:rFonts w:cs="Times New Roman"/>
                <w:sz w:val="20"/>
                <w:szCs w:val="20"/>
                <w:lang w:val="cs-CZ"/>
              </w:rPr>
            </w:pPr>
            <w:r w:rsidRPr="00B25A22">
              <w:rPr>
                <w:rFonts w:cs="Times New Roman"/>
                <w:color w:val="000000"/>
                <w:sz w:val="20"/>
                <w:szCs w:val="20"/>
                <w:lang w:val="cs-CZ"/>
              </w:rPr>
              <w:t>709</w:t>
            </w:r>
          </w:p>
        </w:tc>
        <w:tc>
          <w:tcPr>
            <w:tcW w:w="1560" w:type="dxa"/>
            <w:tcBorders>
              <w:top w:val="nil"/>
              <w:left w:val="nil"/>
              <w:bottom w:val="single" w:sz="4" w:space="0" w:color="auto"/>
              <w:right w:val="single" w:sz="4" w:space="0" w:color="auto"/>
            </w:tcBorders>
            <w:shd w:val="clear" w:color="auto" w:fill="auto"/>
            <w:noWrap/>
            <w:vAlign w:val="center"/>
            <w:hideMark/>
          </w:tcPr>
          <w:p w14:paraId="68EE285E"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18,7</w:t>
            </w:r>
          </w:p>
        </w:tc>
        <w:tc>
          <w:tcPr>
            <w:tcW w:w="1560" w:type="dxa"/>
            <w:tcBorders>
              <w:top w:val="nil"/>
              <w:left w:val="nil"/>
              <w:bottom w:val="single" w:sz="4" w:space="0" w:color="auto"/>
              <w:right w:val="single" w:sz="12" w:space="0" w:color="auto"/>
            </w:tcBorders>
            <w:shd w:val="clear" w:color="auto" w:fill="auto"/>
            <w:noWrap/>
            <w:vAlign w:val="center"/>
            <w:hideMark/>
          </w:tcPr>
          <w:p w14:paraId="138F9A62" w14:textId="77777777" w:rsidR="00AA3A5F" w:rsidRPr="00B25A22" w:rsidRDefault="00AA3A5F" w:rsidP="007A68D5">
            <w:pPr>
              <w:ind w:right="500"/>
              <w:jc w:val="right"/>
              <w:rPr>
                <w:rFonts w:cs="Times New Roman"/>
                <w:color w:val="000000"/>
                <w:sz w:val="20"/>
                <w:szCs w:val="20"/>
                <w:lang w:val="cs-CZ"/>
              </w:rPr>
            </w:pPr>
            <w:r w:rsidRPr="00B25A22">
              <w:rPr>
                <w:rFonts w:cs="Times New Roman"/>
                <w:color w:val="000000"/>
                <w:sz w:val="20"/>
                <w:szCs w:val="20"/>
                <w:lang w:val="cs-CZ"/>
              </w:rPr>
              <w:t>2,4</w:t>
            </w:r>
          </w:p>
        </w:tc>
      </w:tr>
      <w:tr w:rsidR="00AA3A5F" w:rsidRPr="00B25A22" w14:paraId="57A617E3" w14:textId="77777777" w:rsidTr="007A68D5">
        <w:trPr>
          <w:trHeight w:val="255"/>
        </w:trPr>
        <w:tc>
          <w:tcPr>
            <w:tcW w:w="1400" w:type="dxa"/>
            <w:tcBorders>
              <w:top w:val="nil"/>
              <w:left w:val="single" w:sz="12" w:space="0" w:color="auto"/>
              <w:bottom w:val="single" w:sz="4" w:space="0" w:color="auto"/>
              <w:right w:val="single" w:sz="4" w:space="0" w:color="auto"/>
            </w:tcBorders>
            <w:shd w:val="clear" w:color="auto" w:fill="auto"/>
            <w:noWrap/>
            <w:vAlign w:val="center"/>
            <w:hideMark/>
          </w:tcPr>
          <w:p w14:paraId="4C126755"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Nad 1 000 ks</w:t>
            </w:r>
          </w:p>
        </w:tc>
        <w:tc>
          <w:tcPr>
            <w:tcW w:w="1560" w:type="dxa"/>
            <w:tcBorders>
              <w:top w:val="nil"/>
              <w:left w:val="nil"/>
              <w:bottom w:val="single" w:sz="4" w:space="0" w:color="auto"/>
              <w:right w:val="single" w:sz="4" w:space="0" w:color="auto"/>
            </w:tcBorders>
            <w:shd w:val="clear" w:color="auto" w:fill="auto"/>
            <w:noWrap/>
            <w:vAlign w:val="center"/>
            <w:hideMark/>
          </w:tcPr>
          <w:p w14:paraId="7913089C"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432</w:t>
            </w:r>
          </w:p>
        </w:tc>
        <w:tc>
          <w:tcPr>
            <w:tcW w:w="1560" w:type="dxa"/>
            <w:tcBorders>
              <w:top w:val="nil"/>
              <w:left w:val="nil"/>
              <w:bottom w:val="single" w:sz="4" w:space="0" w:color="auto"/>
              <w:right w:val="single" w:sz="4" w:space="0" w:color="auto"/>
            </w:tcBorders>
            <w:shd w:val="clear" w:color="auto" w:fill="auto"/>
            <w:noWrap/>
            <w:vAlign w:val="bottom"/>
            <w:hideMark/>
          </w:tcPr>
          <w:p w14:paraId="6A3E359E"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759 408</w:t>
            </w:r>
          </w:p>
        </w:tc>
        <w:tc>
          <w:tcPr>
            <w:tcW w:w="1560" w:type="dxa"/>
            <w:tcBorders>
              <w:top w:val="nil"/>
              <w:left w:val="nil"/>
              <w:bottom w:val="single" w:sz="4" w:space="0" w:color="auto"/>
              <w:right w:val="single" w:sz="4" w:space="0" w:color="auto"/>
            </w:tcBorders>
            <w:shd w:val="clear" w:color="auto" w:fill="auto"/>
            <w:noWrap/>
            <w:hideMark/>
          </w:tcPr>
          <w:p w14:paraId="6F9BCC6E" w14:textId="77777777" w:rsidR="00AA3A5F" w:rsidRPr="00B25A22" w:rsidRDefault="00AA3A5F" w:rsidP="007A68D5">
            <w:pPr>
              <w:ind w:right="500"/>
              <w:jc w:val="right"/>
              <w:rPr>
                <w:rFonts w:cs="Times New Roman"/>
                <w:sz w:val="20"/>
                <w:szCs w:val="20"/>
                <w:lang w:val="cs-CZ"/>
              </w:rPr>
            </w:pPr>
            <w:r w:rsidRPr="00B25A22">
              <w:rPr>
                <w:rFonts w:cs="Times New Roman"/>
                <w:color w:val="000000"/>
                <w:sz w:val="20"/>
                <w:szCs w:val="20"/>
                <w:lang w:val="cs-CZ"/>
              </w:rPr>
              <w:t>1758</w:t>
            </w:r>
          </w:p>
        </w:tc>
        <w:tc>
          <w:tcPr>
            <w:tcW w:w="1560" w:type="dxa"/>
            <w:tcBorders>
              <w:top w:val="nil"/>
              <w:left w:val="nil"/>
              <w:bottom w:val="single" w:sz="4" w:space="0" w:color="auto"/>
              <w:right w:val="single" w:sz="4" w:space="0" w:color="auto"/>
            </w:tcBorders>
            <w:shd w:val="clear" w:color="auto" w:fill="auto"/>
            <w:noWrap/>
            <w:vAlign w:val="center"/>
            <w:hideMark/>
          </w:tcPr>
          <w:p w14:paraId="46FE9697" w14:textId="77777777" w:rsidR="00AA3A5F" w:rsidRPr="00B25A22" w:rsidRDefault="00AA3A5F" w:rsidP="007A68D5">
            <w:pPr>
              <w:ind w:right="500"/>
              <w:jc w:val="right"/>
              <w:rPr>
                <w:rFonts w:cs="Times New Roman"/>
                <w:sz w:val="20"/>
                <w:szCs w:val="20"/>
                <w:lang w:val="cs-CZ"/>
              </w:rPr>
            </w:pPr>
            <w:r w:rsidRPr="00B25A22">
              <w:rPr>
                <w:rFonts w:cs="Times New Roman"/>
                <w:sz w:val="20"/>
                <w:szCs w:val="20"/>
                <w:lang w:val="cs-CZ"/>
              </w:rPr>
              <w:t>45,9</w:t>
            </w:r>
          </w:p>
        </w:tc>
        <w:tc>
          <w:tcPr>
            <w:tcW w:w="1560" w:type="dxa"/>
            <w:tcBorders>
              <w:top w:val="nil"/>
              <w:left w:val="nil"/>
              <w:bottom w:val="single" w:sz="4" w:space="0" w:color="auto"/>
              <w:right w:val="single" w:sz="12" w:space="0" w:color="auto"/>
            </w:tcBorders>
            <w:shd w:val="clear" w:color="auto" w:fill="auto"/>
            <w:noWrap/>
            <w:vAlign w:val="center"/>
            <w:hideMark/>
          </w:tcPr>
          <w:p w14:paraId="2FE3F7CC" w14:textId="77777777" w:rsidR="00AA3A5F" w:rsidRPr="00B25A22" w:rsidRDefault="00AA3A5F" w:rsidP="007A68D5">
            <w:pPr>
              <w:ind w:right="500"/>
              <w:jc w:val="right"/>
              <w:rPr>
                <w:rFonts w:cs="Times New Roman"/>
                <w:color w:val="000000"/>
                <w:sz w:val="20"/>
                <w:szCs w:val="20"/>
                <w:lang w:val="cs-CZ"/>
              </w:rPr>
            </w:pPr>
            <w:r w:rsidRPr="00B25A22">
              <w:rPr>
                <w:rFonts w:cs="Times New Roman"/>
                <w:color w:val="000000"/>
                <w:sz w:val="20"/>
                <w:szCs w:val="20"/>
                <w:lang w:val="cs-CZ"/>
              </w:rPr>
              <w:t>2,4</w:t>
            </w:r>
          </w:p>
        </w:tc>
      </w:tr>
      <w:tr w:rsidR="00AA3A5F" w:rsidRPr="00B25A22" w14:paraId="45CA76AB" w14:textId="77777777" w:rsidTr="007A68D5">
        <w:trPr>
          <w:trHeight w:val="270"/>
        </w:trPr>
        <w:tc>
          <w:tcPr>
            <w:tcW w:w="1400" w:type="dxa"/>
            <w:tcBorders>
              <w:top w:val="nil"/>
              <w:left w:val="single" w:sz="12" w:space="0" w:color="auto"/>
              <w:bottom w:val="single" w:sz="12" w:space="0" w:color="auto"/>
              <w:right w:val="single" w:sz="4" w:space="0" w:color="auto"/>
            </w:tcBorders>
            <w:shd w:val="clear" w:color="auto" w:fill="auto"/>
            <w:noWrap/>
            <w:vAlign w:val="center"/>
            <w:hideMark/>
          </w:tcPr>
          <w:p w14:paraId="19EF43F2" w14:textId="77777777" w:rsidR="00AA3A5F" w:rsidRPr="00B25A22" w:rsidRDefault="00AA3A5F" w:rsidP="007A68D5">
            <w:pPr>
              <w:jc w:val="left"/>
              <w:rPr>
                <w:rFonts w:cs="Times New Roman"/>
                <w:b/>
                <w:bCs/>
                <w:sz w:val="20"/>
                <w:szCs w:val="20"/>
                <w:lang w:val="cs-CZ"/>
              </w:rPr>
            </w:pPr>
            <w:r w:rsidRPr="00B25A22">
              <w:rPr>
                <w:rFonts w:cs="Times New Roman"/>
                <w:b/>
                <w:bCs/>
                <w:sz w:val="20"/>
                <w:szCs w:val="20"/>
                <w:lang w:val="cs-CZ"/>
              </w:rPr>
              <w:t>Celkem</w:t>
            </w:r>
          </w:p>
        </w:tc>
        <w:tc>
          <w:tcPr>
            <w:tcW w:w="1560" w:type="dxa"/>
            <w:tcBorders>
              <w:top w:val="nil"/>
              <w:left w:val="nil"/>
              <w:bottom w:val="single" w:sz="12" w:space="0" w:color="auto"/>
              <w:right w:val="single" w:sz="4" w:space="0" w:color="auto"/>
            </w:tcBorders>
            <w:shd w:val="clear" w:color="auto" w:fill="auto"/>
            <w:vAlign w:val="center"/>
            <w:hideMark/>
          </w:tcPr>
          <w:p w14:paraId="0B0E64A6" w14:textId="77777777" w:rsidR="00AA3A5F" w:rsidRPr="00B25A22" w:rsidRDefault="00AA3A5F" w:rsidP="007A68D5">
            <w:pPr>
              <w:ind w:right="500"/>
              <w:jc w:val="right"/>
              <w:rPr>
                <w:rFonts w:cs="Times New Roman"/>
                <w:b/>
                <w:bCs/>
                <w:sz w:val="20"/>
                <w:szCs w:val="20"/>
                <w:lang w:val="cs-CZ"/>
              </w:rPr>
            </w:pPr>
            <w:r w:rsidRPr="00B25A22">
              <w:rPr>
                <w:rFonts w:cs="Times New Roman"/>
                <w:b/>
                <w:bCs/>
                <w:sz w:val="20"/>
                <w:szCs w:val="20"/>
                <w:lang w:val="cs-CZ"/>
              </w:rPr>
              <w:t>18 029</w:t>
            </w:r>
          </w:p>
        </w:tc>
        <w:tc>
          <w:tcPr>
            <w:tcW w:w="1560" w:type="dxa"/>
            <w:tcBorders>
              <w:top w:val="nil"/>
              <w:left w:val="nil"/>
              <w:bottom w:val="single" w:sz="12" w:space="0" w:color="auto"/>
              <w:right w:val="single" w:sz="4" w:space="0" w:color="auto"/>
            </w:tcBorders>
            <w:shd w:val="clear" w:color="auto" w:fill="auto"/>
            <w:vAlign w:val="center"/>
            <w:hideMark/>
          </w:tcPr>
          <w:p w14:paraId="4237DD97" w14:textId="77777777" w:rsidR="00AA3A5F" w:rsidRPr="00B25A22" w:rsidRDefault="00AA3A5F" w:rsidP="007A68D5">
            <w:pPr>
              <w:ind w:right="500"/>
              <w:jc w:val="right"/>
              <w:rPr>
                <w:rFonts w:cs="Times New Roman"/>
                <w:b/>
                <w:bCs/>
                <w:sz w:val="20"/>
                <w:szCs w:val="20"/>
                <w:lang w:val="cs-CZ"/>
              </w:rPr>
            </w:pPr>
            <w:r w:rsidRPr="00B25A22">
              <w:rPr>
                <w:rFonts w:cs="Times New Roman"/>
                <w:b/>
                <w:bCs/>
                <w:sz w:val="20"/>
                <w:szCs w:val="20"/>
                <w:lang w:val="cs-CZ"/>
              </w:rPr>
              <w:t>1 654 876</w:t>
            </w:r>
          </w:p>
        </w:tc>
        <w:tc>
          <w:tcPr>
            <w:tcW w:w="1560" w:type="dxa"/>
            <w:tcBorders>
              <w:top w:val="nil"/>
              <w:left w:val="nil"/>
              <w:bottom w:val="single" w:sz="12" w:space="0" w:color="auto"/>
              <w:right w:val="single" w:sz="4" w:space="0" w:color="auto"/>
            </w:tcBorders>
            <w:shd w:val="clear" w:color="auto" w:fill="auto"/>
            <w:noWrap/>
            <w:hideMark/>
          </w:tcPr>
          <w:p w14:paraId="743CC6EA" w14:textId="77777777" w:rsidR="00AA3A5F" w:rsidRPr="00B25A22" w:rsidRDefault="00AA3A5F" w:rsidP="007A68D5">
            <w:pPr>
              <w:ind w:right="500"/>
              <w:jc w:val="right"/>
              <w:rPr>
                <w:rFonts w:cs="Times New Roman"/>
                <w:b/>
                <w:bCs/>
                <w:sz w:val="20"/>
                <w:szCs w:val="20"/>
                <w:lang w:val="cs-CZ"/>
              </w:rPr>
            </w:pPr>
            <w:r w:rsidRPr="00B25A22">
              <w:rPr>
                <w:rFonts w:cs="Times New Roman"/>
                <w:b/>
                <w:bCs/>
                <w:color w:val="000000"/>
                <w:sz w:val="20"/>
                <w:szCs w:val="20"/>
                <w:lang w:val="cs-CZ"/>
              </w:rPr>
              <w:t>92</w:t>
            </w:r>
          </w:p>
        </w:tc>
        <w:tc>
          <w:tcPr>
            <w:tcW w:w="1560" w:type="dxa"/>
            <w:tcBorders>
              <w:top w:val="nil"/>
              <w:left w:val="nil"/>
              <w:bottom w:val="single" w:sz="12" w:space="0" w:color="auto"/>
              <w:right w:val="single" w:sz="4" w:space="0" w:color="auto"/>
            </w:tcBorders>
            <w:shd w:val="clear" w:color="auto" w:fill="auto"/>
            <w:vAlign w:val="center"/>
            <w:hideMark/>
          </w:tcPr>
          <w:p w14:paraId="5AA7EFC6" w14:textId="77777777" w:rsidR="00AA3A5F" w:rsidRPr="00B25A22" w:rsidRDefault="00AA3A5F" w:rsidP="007A68D5">
            <w:pPr>
              <w:ind w:right="500"/>
              <w:jc w:val="right"/>
              <w:rPr>
                <w:rFonts w:cs="Times New Roman"/>
                <w:b/>
                <w:bCs/>
                <w:sz w:val="20"/>
                <w:szCs w:val="20"/>
                <w:lang w:val="cs-CZ"/>
              </w:rPr>
            </w:pPr>
            <w:r w:rsidRPr="00B25A22">
              <w:rPr>
                <w:rFonts w:cs="Times New Roman"/>
                <w:b/>
                <w:bCs/>
                <w:sz w:val="20"/>
                <w:szCs w:val="20"/>
                <w:lang w:val="cs-CZ"/>
              </w:rPr>
              <w:t>100,0</w:t>
            </w:r>
          </w:p>
        </w:tc>
        <w:tc>
          <w:tcPr>
            <w:tcW w:w="1560" w:type="dxa"/>
            <w:tcBorders>
              <w:top w:val="nil"/>
              <w:left w:val="nil"/>
              <w:bottom w:val="single" w:sz="12" w:space="0" w:color="auto"/>
              <w:right w:val="single" w:sz="12" w:space="0" w:color="auto"/>
            </w:tcBorders>
            <w:shd w:val="clear" w:color="auto" w:fill="auto"/>
            <w:vAlign w:val="center"/>
            <w:hideMark/>
          </w:tcPr>
          <w:p w14:paraId="77A66701" w14:textId="77777777" w:rsidR="00AA3A5F" w:rsidRPr="00B25A22" w:rsidRDefault="00AA3A5F" w:rsidP="007A68D5">
            <w:pPr>
              <w:ind w:right="500"/>
              <w:jc w:val="right"/>
              <w:rPr>
                <w:rFonts w:cs="Times New Roman"/>
                <w:b/>
                <w:bCs/>
                <w:sz w:val="20"/>
                <w:szCs w:val="20"/>
                <w:lang w:val="cs-CZ"/>
              </w:rPr>
            </w:pPr>
            <w:r w:rsidRPr="00B25A22">
              <w:rPr>
                <w:rFonts w:cs="Times New Roman"/>
                <w:b/>
                <w:bCs/>
                <w:sz w:val="20"/>
                <w:szCs w:val="20"/>
                <w:lang w:val="cs-CZ"/>
              </w:rPr>
              <w:t>100,0</w:t>
            </w:r>
          </w:p>
        </w:tc>
      </w:tr>
    </w:tbl>
    <w:p w14:paraId="6F1D4837" w14:textId="0C2DFB24" w:rsidR="00B25A22" w:rsidRDefault="00AA3A5F" w:rsidP="001E17E8">
      <w:pPr>
        <w:pStyle w:val="UZEIZdroj"/>
        <w:spacing w:after="0"/>
      </w:pPr>
      <w:r w:rsidRPr="00B25A22">
        <w:lastRenderedPageBreak/>
        <w:t>Pramen: MZe, IRZ, podíly - výpočet ÚZEI</w:t>
      </w:r>
    </w:p>
    <w:p w14:paraId="7AC965F8" w14:textId="5B9E9DEC" w:rsidR="00AA3A5F" w:rsidRPr="00B25A22" w:rsidRDefault="00AA3A5F" w:rsidP="00B25A22">
      <w:pPr>
        <w:pStyle w:val="UZEINormaln"/>
        <w:rPr>
          <w:b/>
          <w:bCs/>
        </w:rPr>
      </w:pPr>
      <w:r w:rsidRPr="00B25A22">
        <w:rPr>
          <w:b/>
          <w:bCs/>
        </w:rPr>
        <w:t>Chov prasat – vepřové maso</w:t>
      </w:r>
    </w:p>
    <w:p w14:paraId="1B59E2A5" w14:textId="77777777" w:rsidR="00AA3A5F" w:rsidRPr="00B25A22" w:rsidRDefault="00AA3A5F" w:rsidP="00B25A22">
      <w:pPr>
        <w:pStyle w:val="UZEINormaln"/>
      </w:pPr>
      <w:r w:rsidRPr="00B25A22">
        <w:t>HHI ukazuje, že koncentrace chovu prasat je rovněž velmi nízká, mezi roky 2010 a 2016 ukazuje progresi, ale z hlediska HHI je posun v koncentraci zanedbatelný. Koncentrace zpracovatelských podniků s porážkou prasat byla v roce 2010 velmi nízká. Do roku 2016 se hodnota HH indexu sice zvýšila, ale stále se nacházela hluboko pod hranicí 1000. V roce 2017 došlo naopak k mírnému meziročnímu snížení hodnoty. Ani v sektoru zpracování vepřového masa není v ČR žádný subjekt s výraznou převahou.</w:t>
      </w:r>
    </w:p>
    <w:p w14:paraId="62588E9C" w14:textId="06E29CF3" w:rsidR="00AA3A5F" w:rsidRPr="00B25A22" w:rsidRDefault="00B25A22" w:rsidP="00B25A22">
      <w:pPr>
        <w:pStyle w:val="UZEITaB"/>
      </w:pPr>
      <w:r>
        <w:t xml:space="preserve"> </w:t>
      </w:r>
      <w:bookmarkStart w:id="39" w:name="_Toc81743447"/>
      <w:r w:rsidR="00AA3A5F" w:rsidRPr="00B25A22">
        <w:t>Vývoj koncentrace chovu prasat a jatek, počet poražených prasat podle indexu HHI</w:t>
      </w:r>
      <w:bookmarkEnd w:id="39"/>
    </w:p>
    <w:tbl>
      <w:tblPr>
        <w:tblW w:w="9204" w:type="dxa"/>
        <w:tblCellMar>
          <w:left w:w="70" w:type="dxa"/>
          <w:right w:w="70" w:type="dxa"/>
        </w:tblCellMar>
        <w:tblLook w:val="04A0" w:firstRow="1" w:lastRow="0" w:firstColumn="1" w:lastColumn="0" w:noHBand="0" w:noVBand="1"/>
      </w:tblPr>
      <w:tblGrid>
        <w:gridCol w:w="1587"/>
        <w:gridCol w:w="711"/>
        <w:gridCol w:w="710"/>
        <w:gridCol w:w="710"/>
        <w:gridCol w:w="791"/>
        <w:gridCol w:w="791"/>
        <w:gridCol w:w="791"/>
        <w:gridCol w:w="1124"/>
        <w:gridCol w:w="997"/>
        <w:gridCol w:w="992"/>
      </w:tblGrid>
      <w:tr w:rsidR="00AA3A5F" w:rsidRPr="000703B9" w14:paraId="7E2A90B9" w14:textId="77777777" w:rsidTr="007A68D5">
        <w:trPr>
          <w:trHeight w:val="458"/>
        </w:trPr>
        <w:tc>
          <w:tcPr>
            <w:tcW w:w="1587" w:type="dxa"/>
            <w:vMerge w:val="restart"/>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A63D920"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Ukazatel</w:t>
            </w:r>
          </w:p>
        </w:tc>
        <w:tc>
          <w:tcPr>
            <w:tcW w:w="2131" w:type="dxa"/>
            <w:gridSpan w:val="3"/>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14:paraId="638D9463" w14:textId="77777777" w:rsidR="00AA3A5F" w:rsidRPr="00B25A22" w:rsidRDefault="00AA3A5F" w:rsidP="007A68D5">
            <w:pPr>
              <w:jc w:val="center"/>
              <w:rPr>
                <w:rFonts w:cs="Times New Roman"/>
                <w:color w:val="000000"/>
                <w:sz w:val="20"/>
                <w:szCs w:val="20"/>
                <w:vertAlign w:val="superscript"/>
                <w:lang w:val="cs-CZ"/>
              </w:rPr>
            </w:pPr>
            <w:r w:rsidRPr="00B25A22">
              <w:rPr>
                <w:rFonts w:cs="Times New Roman"/>
                <w:color w:val="000000"/>
                <w:sz w:val="20"/>
                <w:szCs w:val="20"/>
                <w:lang w:val="cs-CZ"/>
              </w:rPr>
              <w:t>HHI</w:t>
            </w:r>
            <w:r w:rsidRPr="00B25A22">
              <w:rPr>
                <w:rFonts w:cs="Times New Roman"/>
                <w:color w:val="000000"/>
                <w:sz w:val="20"/>
                <w:szCs w:val="20"/>
                <w:vertAlign w:val="superscript"/>
                <w:lang w:val="cs-CZ"/>
              </w:rPr>
              <w:t>1</w:t>
            </w:r>
          </w:p>
          <w:p w14:paraId="49828C3B"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index v %</w:t>
            </w:r>
          </w:p>
        </w:tc>
        <w:tc>
          <w:tcPr>
            <w:tcW w:w="2373" w:type="dxa"/>
            <w:gridSpan w:val="3"/>
            <w:vMerge w:val="restart"/>
            <w:tcBorders>
              <w:top w:val="single" w:sz="12" w:space="0" w:color="auto"/>
              <w:left w:val="single" w:sz="4" w:space="0" w:color="auto"/>
              <w:bottom w:val="single" w:sz="4" w:space="0" w:color="auto"/>
              <w:right w:val="single" w:sz="4" w:space="0" w:color="auto"/>
            </w:tcBorders>
            <w:shd w:val="clear" w:color="auto" w:fill="auto"/>
            <w:vAlign w:val="bottom"/>
            <w:hideMark/>
          </w:tcPr>
          <w:p w14:paraId="304A8D59"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Počet subjektů chovů</w:t>
            </w:r>
            <w:r w:rsidRPr="00B25A22">
              <w:rPr>
                <w:rFonts w:cs="Times New Roman"/>
                <w:sz w:val="20"/>
                <w:szCs w:val="20"/>
                <w:lang w:val="cs-CZ"/>
              </w:rPr>
              <w:br/>
              <w:t xml:space="preserve"> resp. jatek </w:t>
            </w:r>
          </w:p>
        </w:tc>
        <w:tc>
          <w:tcPr>
            <w:tcW w:w="3113" w:type="dxa"/>
            <w:gridSpan w:val="3"/>
            <w:vMerge w:val="restart"/>
            <w:tcBorders>
              <w:top w:val="single" w:sz="12" w:space="0" w:color="auto"/>
              <w:left w:val="single" w:sz="4" w:space="0" w:color="auto"/>
              <w:bottom w:val="single" w:sz="4" w:space="0" w:color="auto"/>
              <w:right w:val="single" w:sz="12" w:space="0" w:color="auto"/>
            </w:tcBorders>
            <w:shd w:val="clear" w:color="auto" w:fill="auto"/>
            <w:vAlign w:val="bottom"/>
            <w:hideMark/>
          </w:tcPr>
          <w:p w14:paraId="371D67F9"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 xml:space="preserve">Počet chovaných </w:t>
            </w:r>
            <w:r w:rsidRPr="00B25A22">
              <w:rPr>
                <w:rFonts w:cs="Times New Roman"/>
                <w:sz w:val="20"/>
                <w:szCs w:val="20"/>
                <w:lang w:val="cs-CZ"/>
              </w:rPr>
              <w:br/>
              <w:t>resp. poražených zvířat v ks</w:t>
            </w:r>
          </w:p>
        </w:tc>
      </w:tr>
      <w:tr w:rsidR="00AA3A5F" w:rsidRPr="000703B9" w14:paraId="79025B45" w14:textId="77777777" w:rsidTr="007A68D5">
        <w:trPr>
          <w:trHeight w:val="458"/>
        </w:trPr>
        <w:tc>
          <w:tcPr>
            <w:tcW w:w="1587" w:type="dxa"/>
            <w:vMerge/>
            <w:tcBorders>
              <w:top w:val="single" w:sz="8" w:space="0" w:color="auto"/>
              <w:left w:val="single" w:sz="12" w:space="0" w:color="auto"/>
              <w:bottom w:val="single" w:sz="4" w:space="0" w:color="auto"/>
              <w:right w:val="single" w:sz="4" w:space="0" w:color="auto"/>
            </w:tcBorders>
            <w:shd w:val="clear" w:color="auto" w:fill="auto"/>
            <w:vAlign w:val="center"/>
            <w:hideMark/>
          </w:tcPr>
          <w:p w14:paraId="41FEFE2C" w14:textId="77777777" w:rsidR="00AA3A5F" w:rsidRPr="00B25A22" w:rsidRDefault="00AA3A5F" w:rsidP="007A68D5">
            <w:pPr>
              <w:jc w:val="left"/>
              <w:rPr>
                <w:rFonts w:cs="Times New Roman"/>
                <w:color w:val="000000"/>
                <w:sz w:val="20"/>
                <w:szCs w:val="20"/>
                <w:lang w:val="cs-CZ"/>
              </w:rPr>
            </w:pPr>
          </w:p>
        </w:tc>
        <w:tc>
          <w:tcPr>
            <w:tcW w:w="2131" w:type="dxa"/>
            <w:gridSpan w:val="3"/>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6E69A64A" w14:textId="77777777" w:rsidR="00AA3A5F" w:rsidRPr="00B25A22" w:rsidRDefault="00AA3A5F" w:rsidP="007A68D5">
            <w:pPr>
              <w:jc w:val="left"/>
              <w:rPr>
                <w:rFonts w:cs="Times New Roman"/>
                <w:color w:val="000000"/>
                <w:sz w:val="20"/>
                <w:szCs w:val="20"/>
                <w:lang w:val="cs-CZ"/>
              </w:rPr>
            </w:pPr>
          </w:p>
        </w:tc>
        <w:tc>
          <w:tcPr>
            <w:tcW w:w="2373" w:type="dxa"/>
            <w:gridSpan w:val="3"/>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661D4996" w14:textId="77777777" w:rsidR="00AA3A5F" w:rsidRPr="00B25A22" w:rsidRDefault="00AA3A5F" w:rsidP="007A68D5">
            <w:pPr>
              <w:jc w:val="left"/>
              <w:rPr>
                <w:rFonts w:cs="Times New Roman"/>
                <w:sz w:val="20"/>
                <w:szCs w:val="20"/>
                <w:lang w:val="cs-CZ"/>
              </w:rPr>
            </w:pPr>
          </w:p>
        </w:tc>
        <w:tc>
          <w:tcPr>
            <w:tcW w:w="3113" w:type="dxa"/>
            <w:gridSpan w:val="3"/>
            <w:vMerge/>
            <w:tcBorders>
              <w:top w:val="single" w:sz="8" w:space="0" w:color="auto"/>
              <w:left w:val="single" w:sz="4" w:space="0" w:color="auto"/>
              <w:bottom w:val="single" w:sz="4" w:space="0" w:color="auto"/>
              <w:right w:val="single" w:sz="12" w:space="0" w:color="auto"/>
            </w:tcBorders>
            <w:shd w:val="clear" w:color="auto" w:fill="auto"/>
            <w:vAlign w:val="center"/>
            <w:hideMark/>
          </w:tcPr>
          <w:p w14:paraId="0C9CDE21" w14:textId="77777777" w:rsidR="00AA3A5F" w:rsidRPr="00B25A22" w:rsidRDefault="00AA3A5F" w:rsidP="007A68D5">
            <w:pPr>
              <w:jc w:val="left"/>
              <w:rPr>
                <w:rFonts w:cs="Times New Roman"/>
                <w:sz w:val="20"/>
                <w:szCs w:val="20"/>
                <w:lang w:val="cs-CZ"/>
              </w:rPr>
            </w:pPr>
          </w:p>
        </w:tc>
      </w:tr>
      <w:tr w:rsidR="00AA3A5F" w:rsidRPr="00B25A22" w14:paraId="0FFF7320" w14:textId="77777777" w:rsidTr="007A68D5">
        <w:trPr>
          <w:trHeight w:val="300"/>
        </w:trPr>
        <w:tc>
          <w:tcPr>
            <w:tcW w:w="1587" w:type="dxa"/>
            <w:vMerge/>
            <w:tcBorders>
              <w:top w:val="single" w:sz="8" w:space="0" w:color="auto"/>
              <w:left w:val="single" w:sz="12" w:space="0" w:color="auto"/>
              <w:bottom w:val="single" w:sz="4" w:space="0" w:color="auto"/>
              <w:right w:val="single" w:sz="4" w:space="0" w:color="auto"/>
            </w:tcBorders>
            <w:shd w:val="clear" w:color="auto" w:fill="auto"/>
            <w:vAlign w:val="center"/>
            <w:hideMark/>
          </w:tcPr>
          <w:p w14:paraId="6A746A9D" w14:textId="77777777" w:rsidR="00AA3A5F" w:rsidRPr="00B25A22" w:rsidRDefault="00AA3A5F" w:rsidP="007A68D5">
            <w:pPr>
              <w:jc w:val="left"/>
              <w:rPr>
                <w:rFonts w:cs="Times New Roman"/>
                <w:color w:val="000000"/>
                <w:sz w:val="20"/>
                <w:szCs w:val="20"/>
                <w:lang w:val="cs-CZ"/>
              </w:rPr>
            </w:pPr>
          </w:p>
        </w:tc>
        <w:tc>
          <w:tcPr>
            <w:tcW w:w="711" w:type="dxa"/>
            <w:tcBorders>
              <w:top w:val="nil"/>
              <w:left w:val="nil"/>
              <w:bottom w:val="single" w:sz="4" w:space="0" w:color="auto"/>
              <w:right w:val="single" w:sz="4" w:space="0" w:color="auto"/>
            </w:tcBorders>
            <w:shd w:val="clear" w:color="auto" w:fill="auto"/>
            <w:noWrap/>
            <w:vAlign w:val="center"/>
            <w:hideMark/>
          </w:tcPr>
          <w:p w14:paraId="0F2AEF51"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2010</w:t>
            </w:r>
          </w:p>
        </w:tc>
        <w:tc>
          <w:tcPr>
            <w:tcW w:w="710" w:type="dxa"/>
            <w:tcBorders>
              <w:top w:val="nil"/>
              <w:left w:val="nil"/>
              <w:bottom w:val="single" w:sz="4" w:space="0" w:color="auto"/>
              <w:right w:val="single" w:sz="4" w:space="0" w:color="auto"/>
            </w:tcBorders>
            <w:shd w:val="clear" w:color="auto" w:fill="auto"/>
            <w:noWrap/>
            <w:vAlign w:val="center"/>
            <w:hideMark/>
          </w:tcPr>
          <w:p w14:paraId="7D2BA793"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2016</w:t>
            </w:r>
          </w:p>
        </w:tc>
        <w:tc>
          <w:tcPr>
            <w:tcW w:w="710" w:type="dxa"/>
            <w:tcBorders>
              <w:top w:val="nil"/>
              <w:left w:val="nil"/>
              <w:bottom w:val="single" w:sz="4" w:space="0" w:color="auto"/>
              <w:right w:val="single" w:sz="4" w:space="0" w:color="auto"/>
            </w:tcBorders>
            <w:shd w:val="clear" w:color="auto" w:fill="auto"/>
            <w:noWrap/>
            <w:vAlign w:val="center"/>
            <w:hideMark/>
          </w:tcPr>
          <w:p w14:paraId="0EC8B89A"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2017</w:t>
            </w:r>
          </w:p>
        </w:tc>
        <w:tc>
          <w:tcPr>
            <w:tcW w:w="791" w:type="dxa"/>
            <w:tcBorders>
              <w:top w:val="nil"/>
              <w:left w:val="nil"/>
              <w:bottom w:val="single" w:sz="4" w:space="0" w:color="auto"/>
              <w:right w:val="single" w:sz="4" w:space="0" w:color="auto"/>
            </w:tcBorders>
            <w:shd w:val="clear" w:color="auto" w:fill="auto"/>
            <w:noWrap/>
            <w:vAlign w:val="center"/>
            <w:hideMark/>
          </w:tcPr>
          <w:p w14:paraId="455EABB6"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2010</w:t>
            </w:r>
          </w:p>
        </w:tc>
        <w:tc>
          <w:tcPr>
            <w:tcW w:w="791" w:type="dxa"/>
            <w:tcBorders>
              <w:top w:val="nil"/>
              <w:left w:val="nil"/>
              <w:bottom w:val="single" w:sz="4" w:space="0" w:color="auto"/>
              <w:right w:val="single" w:sz="4" w:space="0" w:color="auto"/>
            </w:tcBorders>
            <w:shd w:val="clear" w:color="auto" w:fill="auto"/>
            <w:noWrap/>
            <w:vAlign w:val="center"/>
            <w:hideMark/>
          </w:tcPr>
          <w:p w14:paraId="5BEE2EB2"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2016</w:t>
            </w:r>
          </w:p>
        </w:tc>
        <w:tc>
          <w:tcPr>
            <w:tcW w:w="791" w:type="dxa"/>
            <w:tcBorders>
              <w:top w:val="nil"/>
              <w:left w:val="nil"/>
              <w:bottom w:val="single" w:sz="4" w:space="0" w:color="auto"/>
              <w:right w:val="single" w:sz="4" w:space="0" w:color="auto"/>
            </w:tcBorders>
            <w:shd w:val="clear" w:color="auto" w:fill="auto"/>
            <w:noWrap/>
            <w:vAlign w:val="center"/>
            <w:hideMark/>
          </w:tcPr>
          <w:p w14:paraId="5B824ABD"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2017</w:t>
            </w:r>
          </w:p>
        </w:tc>
        <w:tc>
          <w:tcPr>
            <w:tcW w:w="1124" w:type="dxa"/>
            <w:tcBorders>
              <w:top w:val="nil"/>
              <w:left w:val="nil"/>
              <w:bottom w:val="single" w:sz="4" w:space="0" w:color="auto"/>
              <w:right w:val="single" w:sz="4" w:space="0" w:color="auto"/>
            </w:tcBorders>
            <w:shd w:val="clear" w:color="auto" w:fill="auto"/>
            <w:noWrap/>
            <w:vAlign w:val="center"/>
            <w:hideMark/>
          </w:tcPr>
          <w:p w14:paraId="307A19F7"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2010</w:t>
            </w:r>
          </w:p>
        </w:tc>
        <w:tc>
          <w:tcPr>
            <w:tcW w:w="997" w:type="dxa"/>
            <w:tcBorders>
              <w:top w:val="nil"/>
              <w:left w:val="nil"/>
              <w:bottom w:val="single" w:sz="4" w:space="0" w:color="auto"/>
              <w:right w:val="single" w:sz="4" w:space="0" w:color="auto"/>
            </w:tcBorders>
            <w:shd w:val="clear" w:color="auto" w:fill="auto"/>
            <w:noWrap/>
            <w:vAlign w:val="center"/>
            <w:hideMark/>
          </w:tcPr>
          <w:p w14:paraId="5742E262"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2016</w:t>
            </w:r>
          </w:p>
        </w:tc>
        <w:tc>
          <w:tcPr>
            <w:tcW w:w="992" w:type="dxa"/>
            <w:tcBorders>
              <w:top w:val="nil"/>
              <w:left w:val="nil"/>
              <w:bottom w:val="single" w:sz="4" w:space="0" w:color="auto"/>
              <w:right w:val="single" w:sz="12" w:space="0" w:color="auto"/>
            </w:tcBorders>
            <w:shd w:val="clear" w:color="auto" w:fill="auto"/>
            <w:noWrap/>
            <w:vAlign w:val="center"/>
            <w:hideMark/>
          </w:tcPr>
          <w:p w14:paraId="3BF3B8A5"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2017</w:t>
            </w:r>
          </w:p>
        </w:tc>
      </w:tr>
      <w:tr w:rsidR="00AA3A5F" w:rsidRPr="00B25A22" w14:paraId="02BDAF30" w14:textId="77777777" w:rsidTr="007A68D5">
        <w:trPr>
          <w:trHeight w:val="510"/>
        </w:trPr>
        <w:tc>
          <w:tcPr>
            <w:tcW w:w="1587" w:type="dxa"/>
            <w:tcBorders>
              <w:top w:val="nil"/>
              <w:left w:val="single" w:sz="12" w:space="0" w:color="auto"/>
              <w:bottom w:val="single" w:sz="4" w:space="0" w:color="auto"/>
              <w:right w:val="single" w:sz="4" w:space="0" w:color="auto"/>
            </w:tcBorders>
            <w:shd w:val="clear" w:color="auto" w:fill="auto"/>
            <w:noWrap/>
            <w:vAlign w:val="center"/>
            <w:hideMark/>
          </w:tcPr>
          <w:p w14:paraId="55F05CA7" w14:textId="77777777" w:rsidR="00AA3A5F" w:rsidRPr="00B25A22" w:rsidRDefault="00AA3A5F" w:rsidP="007A68D5">
            <w:pPr>
              <w:rPr>
                <w:rFonts w:cs="Times New Roman"/>
                <w:color w:val="000000"/>
                <w:sz w:val="20"/>
                <w:szCs w:val="20"/>
                <w:lang w:val="cs-CZ"/>
              </w:rPr>
            </w:pPr>
            <w:r w:rsidRPr="00B25A22">
              <w:rPr>
                <w:rFonts w:cs="Times New Roman"/>
                <w:color w:val="000000"/>
                <w:sz w:val="20"/>
                <w:szCs w:val="20"/>
                <w:lang w:val="cs-CZ"/>
              </w:rPr>
              <w:t>Koncentrace chovu</w:t>
            </w:r>
          </w:p>
        </w:tc>
        <w:tc>
          <w:tcPr>
            <w:tcW w:w="711" w:type="dxa"/>
            <w:tcBorders>
              <w:top w:val="nil"/>
              <w:left w:val="nil"/>
              <w:bottom w:val="single" w:sz="4" w:space="0" w:color="auto"/>
              <w:right w:val="single" w:sz="4" w:space="0" w:color="auto"/>
            </w:tcBorders>
            <w:shd w:val="clear" w:color="auto" w:fill="auto"/>
            <w:noWrap/>
            <w:vAlign w:val="center"/>
            <w:hideMark/>
          </w:tcPr>
          <w:p w14:paraId="011F5E32"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54</w:t>
            </w:r>
          </w:p>
        </w:tc>
        <w:tc>
          <w:tcPr>
            <w:tcW w:w="710" w:type="dxa"/>
            <w:tcBorders>
              <w:top w:val="nil"/>
              <w:left w:val="nil"/>
              <w:bottom w:val="single" w:sz="4" w:space="0" w:color="auto"/>
              <w:right w:val="single" w:sz="4" w:space="0" w:color="auto"/>
            </w:tcBorders>
            <w:shd w:val="clear" w:color="auto" w:fill="auto"/>
            <w:noWrap/>
            <w:vAlign w:val="center"/>
            <w:hideMark/>
          </w:tcPr>
          <w:p w14:paraId="2B6D4A61"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97</w:t>
            </w:r>
          </w:p>
        </w:tc>
        <w:tc>
          <w:tcPr>
            <w:tcW w:w="710" w:type="dxa"/>
            <w:tcBorders>
              <w:top w:val="nil"/>
              <w:left w:val="nil"/>
              <w:bottom w:val="single" w:sz="4" w:space="0" w:color="auto"/>
              <w:right w:val="single" w:sz="4" w:space="0" w:color="auto"/>
            </w:tcBorders>
            <w:shd w:val="clear" w:color="auto" w:fill="auto"/>
            <w:noWrap/>
            <w:vAlign w:val="center"/>
            <w:hideMark/>
          </w:tcPr>
          <w:p w14:paraId="1ACB3725"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 </w:t>
            </w:r>
          </w:p>
        </w:tc>
        <w:tc>
          <w:tcPr>
            <w:tcW w:w="791" w:type="dxa"/>
            <w:tcBorders>
              <w:top w:val="nil"/>
              <w:left w:val="nil"/>
              <w:bottom w:val="single" w:sz="4" w:space="0" w:color="auto"/>
              <w:right w:val="single" w:sz="4" w:space="0" w:color="auto"/>
            </w:tcBorders>
            <w:shd w:val="clear" w:color="auto" w:fill="auto"/>
            <w:noWrap/>
            <w:vAlign w:val="center"/>
            <w:hideMark/>
          </w:tcPr>
          <w:p w14:paraId="010F457F"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2 962</w:t>
            </w:r>
          </w:p>
        </w:tc>
        <w:tc>
          <w:tcPr>
            <w:tcW w:w="791" w:type="dxa"/>
            <w:tcBorders>
              <w:top w:val="nil"/>
              <w:left w:val="nil"/>
              <w:bottom w:val="single" w:sz="4" w:space="0" w:color="auto"/>
              <w:right w:val="single" w:sz="4" w:space="0" w:color="auto"/>
            </w:tcBorders>
            <w:shd w:val="clear" w:color="auto" w:fill="auto"/>
            <w:noWrap/>
            <w:vAlign w:val="center"/>
            <w:hideMark/>
          </w:tcPr>
          <w:p w14:paraId="41E9DA10"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2 597</w:t>
            </w:r>
          </w:p>
        </w:tc>
        <w:tc>
          <w:tcPr>
            <w:tcW w:w="791" w:type="dxa"/>
            <w:tcBorders>
              <w:top w:val="nil"/>
              <w:left w:val="nil"/>
              <w:bottom w:val="single" w:sz="4" w:space="0" w:color="auto"/>
              <w:right w:val="single" w:sz="4" w:space="0" w:color="auto"/>
            </w:tcBorders>
            <w:shd w:val="clear" w:color="auto" w:fill="auto"/>
            <w:noWrap/>
            <w:vAlign w:val="center"/>
            <w:hideMark/>
          </w:tcPr>
          <w:p w14:paraId="435F6D7F"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2 599</w:t>
            </w:r>
          </w:p>
        </w:tc>
        <w:tc>
          <w:tcPr>
            <w:tcW w:w="1124" w:type="dxa"/>
            <w:tcBorders>
              <w:top w:val="nil"/>
              <w:left w:val="nil"/>
              <w:bottom w:val="single" w:sz="4" w:space="0" w:color="auto"/>
              <w:right w:val="single" w:sz="4" w:space="0" w:color="auto"/>
            </w:tcBorders>
            <w:shd w:val="clear" w:color="auto" w:fill="auto"/>
            <w:noWrap/>
            <w:vAlign w:val="center"/>
            <w:hideMark/>
          </w:tcPr>
          <w:p w14:paraId="3EF86805"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1 987 638</w:t>
            </w:r>
          </w:p>
        </w:tc>
        <w:tc>
          <w:tcPr>
            <w:tcW w:w="997" w:type="dxa"/>
            <w:tcBorders>
              <w:top w:val="nil"/>
              <w:left w:val="nil"/>
              <w:bottom w:val="single" w:sz="4" w:space="0" w:color="auto"/>
              <w:right w:val="single" w:sz="4" w:space="0" w:color="auto"/>
            </w:tcBorders>
            <w:shd w:val="clear" w:color="auto" w:fill="auto"/>
            <w:noWrap/>
            <w:vAlign w:val="center"/>
            <w:hideMark/>
          </w:tcPr>
          <w:p w14:paraId="5ABB5B36"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1 557 793</w:t>
            </w:r>
          </w:p>
        </w:tc>
        <w:tc>
          <w:tcPr>
            <w:tcW w:w="992" w:type="dxa"/>
            <w:tcBorders>
              <w:top w:val="nil"/>
              <w:left w:val="nil"/>
              <w:bottom w:val="single" w:sz="4" w:space="0" w:color="auto"/>
              <w:right w:val="single" w:sz="12" w:space="0" w:color="auto"/>
            </w:tcBorders>
            <w:shd w:val="clear" w:color="auto" w:fill="auto"/>
            <w:noWrap/>
            <w:vAlign w:val="center"/>
            <w:hideMark/>
          </w:tcPr>
          <w:p w14:paraId="60A706D3"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1 638 335</w:t>
            </w:r>
          </w:p>
        </w:tc>
      </w:tr>
      <w:tr w:rsidR="00AA3A5F" w:rsidRPr="00B25A22" w14:paraId="3DCD9E14" w14:textId="77777777" w:rsidTr="007A68D5">
        <w:trPr>
          <w:trHeight w:val="525"/>
        </w:trPr>
        <w:tc>
          <w:tcPr>
            <w:tcW w:w="1587" w:type="dxa"/>
            <w:tcBorders>
              <w:top w:val="nil"/>
              <w:left w:val="single" w:sz="12" w:space="0" w:color="auto"/>
              <w:bottom w:val="single" w:sz="12" w:space="0" w:color="auto"/>
              <w:right w:val="single" w:sz="4" w:space="0" w:color="auto"/>
            </w:tcBorders>
            <w:shd w:val="clear" w:color="auto" w:fill="auto"/>
            <w:vAlign w:val="center"/>
            <w:hideMark/>
          </w:tcPr>
          <w:p w14:paraId="41F67272"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 xml:space="preserve">Porážka </w:t>
            </w:r>
            <w:r w:rsidRPr="00B25A22">
              <w:rPr>
                <w:rFonts w:cs="Times New Roman"/>
                <w:color w:val="000000"/>
                <w:sz w:val="20"/>
                <w:szCs w:val="20"/>
                <w:lang w:val="cs-CZ"/>
              </w:rPr>
              <w:br/>
              <w:t>jat. prasat</w:t>
            </w:r>
          </w:p>
        </w:tc>
        <w:tc>
          <w:tcPr>
            <w:tcW w:w="711" w:type="dxa"/>
            <w:tcBorders>
              <w:top w:val="nil"/>
              <w:left w:val="nil"/>
              <w:bottom w:val="single" w:sz="12" w:space="0" w:color="auto"/>
              <w:right w:val="single" w:sz="4" w:space="0" w:color="auto"/>
            </w:tcBorders>
            <w:shd w:val="clear" w:color="000000" w:fill="FFFFFF"/>
            <w:noWrap/>
            <w:vAlign w:val="center"/>
            <w:hideMark/>
          </w:tcPr>
          <w:p w14:paraId="26914720"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326</w:t>
            </w:r>
          </w:p>
        </w:tc>
        <w:tc>
          <w:tcPr>
            <w:tcW w:w="710" w:type="dxa"/>
            <w:tcBorders>
              <w:top w:val="nil"/>
              <w:left w:val="nil"/>
              <w:bottom w:val="single" w:sz="12" w:space="0" w:color="auto"/>
              <w:right w:val="single" w:sz="4" w:space="0" w:color="auto"/>
            </w:tcBorders>
            <w:shd w:val="clear" w:color="000000" w:fill="FFFFFF"/>
            <w:noWrap/>
            <w:vAlign w:val="center"/>
            <w:hideMark/>
          </w:tcPr>
          <w:p w14:paraId="2E625A96"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524</w:t>
            </w:r>
          </w:p>
        </w:tc>
        <w:tc>
          <w:tcPr>
            <w:tcW w:w="710" w:type="dxa"/>
            <w:tcBorders>
              <w:top w:val="nil"/>
              <w:left w:val="nil"/>
              <w:bottom w:val="single" w:sz="12" w:space="0" w:color="auto"/>
              <w:right w:val="single" w:sz="4" w:space="0" w:color="auto"/>
            </w:tcBorders>
            <w:shd w:val="clear" w:color="auto" w:fill="auto"/>
            <w:noWrap/>
            <w:vAlign w:val="center"/>
            <w:hideMark/>
          </w:tcPr>
          <w:p w14:paraId="0E39FCAB"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478</w:t>
            </w:r>
          </w:p>
        </w:tc>
        <w:tc>
          <w:tcPr>
            <w:tcW w:w="791" w:type="dxa"/>
            <w:tcBorders>
              <w:top w:val="nil"/>
              <w:left w:val="nil"/>
              <w:bottom w:val="single" w:sz="12" w:space="0" w:color="auto"/>
              <w:right w:val="single" w:sz="4" w:space="0" w:color="auto"/>
            </w:tcBorders>
            <w:shd w:val="clear" w:color="auto" w:fill="auto"/>
            <w:noWrap/>
            <w:vAlign w:val="center"/>
            <w:hideMark/>
          </w:tcPr>
          <w:p w14:paraId="619EED3B"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196</w:t>
            </w:r>
          </w:p>
        </w:tc>
        <w:tc>
          <w:tcPr>
            <w:tcW w:w="791" w:type="dxa"/>
            <w:tcBorders>
              <w:top w:val="nil"/>
              <w:left w:val="nil"/>
              <w:bottom w:val="single" w:sz="12" w:space="0" w:color="auto"/>
              <w:right w:val="single" w:sz="4" w:space="0" w:color="auto"/>
            </w:tcBorders>
            <w:shd w:val="clear" w:color="auto" w:fill="auto"/>
            <w:noWrap/>
            <w:vAlign w:val="center"/>
            <w:hideMark/>
          </w:tcPr>
          <w:p w14:paraId="28FFEAB8"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179</w:t>
            </w:r>
          </w:p>
        </w:tc>
        <w:tc>
          <w:tcPr>
            <w:tcW w:w="791" w:type="dxa"/>
            <w:tcBorders>
              <w:top w:val="nil"/>
              <w:left w:val="nil"/>
              <w:bottom w:val="single" w:sz="12" w:space="0" w:color="auto"/>
              <w:right w:val="single" w:sz="4" w:space="0" w:color="auto"/>
            </w:tcBorders>
            <w:shd w:val="clear" w:color="auto" w:fill="auto"/>
            <w:noWrap/>
            <w:vAlign w:val="center"/>
            <w:hideMark/>
          </w:tcPr>
          <w:p w14:paraId="7CDC591A" w14:textId="77777777" w:rsidR="00AA3A5F" w:rsidRPr="00B25A22" w:rsidRDefault="00AA3A5F" w:rsidP="007A68D5">
            <w:pPr>
              <w:jc w:val="center"/>
              <w:rPr>
                <w:rFonts w:cs="Times New Roman"/>
                <w:color w:val="000000"/>
                <w:sz w:val="20"/>
                <w:szCs w:val="20"/>
                <w:lang w:val="cs-CZ"/>
              </w:rPr>
            </w:pPr>
            <w:r w:rsidRPr="00B25A22">
              <w:rPr>
                <w:rFonts w:cs="Times New Roman"/>
                <w:color w:val="000000"/>
                <w:sz w:val="20"/>
                <w:szCs w:val="20"/>
                <w:lang w:val="cs-CZ"/>
              </w:rPr>
              <w:t>176</w:t>
            </w:r>
          </w:p>
        </w:tc>
        <w:tc>
          <w:tcPr>
            <w:tcW w:w="1124" w:type="dxa"/>
            <w:tcBorders>
              <w:top w:val="nil"/>
              <w:left w:val="nil"/>
              <w:bottom w:val="single" w:sz="12" w:space="0" w:color="auto"/>
              <w:right w:val="single" w:sz="4" w:space="0" w:color="auto"/>
            </w:tcBorders>
            <w:shd w:val="clear" w:color="auto" w:fill="auto"/>
            <w:noWrap/>
            <w:vAlign w:val="center"/>
            <w:hideMark/>
          </w:tcPr>
          <w:p w14:paraId="2C53267E"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3 187 787</w:t>
            </w:r>
          </w:p>
        </w:tc>
        <w:tc>
          <w:tcPr>
            <w:tcW w:w="997" w:type="dxa"/>
            <w:tcBorders>
              <w:top w:val="nil"/>
              <w:left w:val="nil"/>
              <w:bottom w:val="single" w:sz="12" w:space="0" w:color="auto"/>
              <w:right w:val="single" w:sz="4" w:space="0" w:color="auto"/>
            </w:tcBorders>
            <w:shd w:val="clear" w:color="auto" w:fill="auto"/>
            <w:noWrap/>
            <w:vAlign w:val="center"/>
            <w:hideMark/>
          </w:tcPr>
          <w:p w14:paraId="0CF886EB"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2 545 569</w:t>
            </w:r>
          </w:p>
        </w:tc>
        <w:tc>
          <w:tcPr>
            <w:tcW w:w="992" w:type="dxa"/>
            <w:tcBorders>
              <w:top w:val="nil"/>
              <w:left w:val="nil"/>
              <w:bottom w:val="single" w:sz="12" w:space="0" w:color="auto"/>
              <w:right w:val="single" w:sz="12" w:space="0" w:color="auto"/>
            </w:tcBorders>
            <w:shd w:val="clear" w:color="auto" w:fill="auto"/>
            <w:noWrap/>
            <w:vAlign w:val="center"/>
            <w:hideMark/>
          </w:tcPr>
          <w:p w14:paraId="355CA25D"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2 374 022</w:t>
            </w:r>
          </w:p>
        </w:tc>
      </w:tr>
    </w:tbl>
    <w:p w14:paraId="14364C5F" w14:textId="77777777" w:rsidR="00AA3A5F" w:rsidRPr="00B25A22" w:rsidRDefault="00AA3A5F" w:rsidP="00BA3563">
      <w:pPr>
        <w:pStyle w:val="Odstavecseseznamem"/>
        <w:numPr>
          <w:ilvl w:val="0"/>
          <w:numId w:val="32"/>
        </w:numPr>
        <w:tabs>
          <w:tab w:val="left" w:pos="426"/>
        </w:tabs>
        <w:spacing w:line="240" w:lineRule="atLeast"/>
        <w:ind w:left="284"/>
        <w:contextualSpacing w:val="0"/>
        <w:rPr>
          <w:i/>
          <w:iCs/>
          <w:color w:val="000000"/>
          <w:sz w:val="18"/>
          <w:szCs w:val="18"/>
        </w:rPr>
      </w:pPr>
      <w:r w:rsidRPr="00B25A22">
        <w:rPr>
          <w:i/>
          <w:iCs/>
          <w:sz w:val="18"/>
          <w:szCs w:val="18"/>
        </w:rPr>
        <w:t>Pomocný výpočet na základě velikostních skupin.</w:t>
      </w:r>
    </w:p>
    <w:p w14:paraId="021C8998" w14:textId="77777777" w:rsidR="00AA3A5F" w:rsidRPr="00B25A22" w:rsidRDefault="00AA3A5F" w:rsidP="00AA3A5F">
      <w:pPr>
        <w:spacing w:line="240" w:lineRule="atLeast"/>
        <w:rPr>
          <w:rFonts w:cs="Times New Roman"/>
          <w:bCs/>
          <w:i/>
          <w:iCs/>
          <w:sz w:val="20"/>
          <w:szCs w:val="20"/>
          <w:lang w:val="cs-CZ"/>
        </w:rPr>
      </w:pPr>
      <w:r w:rsidRPr="00B25A22">
        <w:rPr>
          <w:rFonts w:cs="Times New Roman"/>
          <w:i/>
          <w:iCs/>
          <w:color w:val="000000"/>
          <w:sz w:val="18"/>
          <w:szCs w:val="18"/>
          <w:lang w:val="cs-CZ"/>
        </w:rPr>
        <w:t xml:space="preserve">Pramen: výpočet ÚZEI podle dat ČSÚ – porážky hospodářských zvířat </w:t>
      </w:r>
    </w:p>
    <w:p w14:paraId="1BD73EB9" w14:textId="7EE496E3" w:rsidR="00AA3A5F" w:rsidRPr="00B25A22" w:rsidRDefault="00B25A22" w:rsidP="00B25A22">
      <w:pPr>
        <w:pStyle w:val="UZEITaB"/>
      </w:pPr>
      <w:r>
        <w:t xml:space="preserve"> </w:t>
      </w:r>
      <w:bookmarkStart w:id="40" w:name="_Toc81743448"/>
      <w:r w:rsidR="00AA3A5F" w:rsidRPr="00B25A22">
        <w:t>Struktura podniků s chovem prasat celkem v ČR v roce 2019 (údaje k 31.12.)</w:t>
      </w:r>
      <w:bookmarkEnd w:id="40"/>
    </w:p>
    <w:tbl>
      <w:tblPr>
        <w:tblW w:w="920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545"/>
        <w:gridCol w:w="1415"/>
        <w:gridCol w:w="1560"/>
        <w:gridCol w:w="1560"/>
        <w:gridCol w:w="1560"/>
        <w:gridCol w:w="1560"/>
      </w:tblGrid>
      <w:tr w:rsidR="00AA3A5F" w:rsidRPr="000703B9" w14:paraId="2B87C5DF" w14:textId="77777777" w:rsidTr="007A68D5">
        <w:trPr>
          <w:trHeight w:val="270"/>
        </w:trPr>
        <w:tc>
          <w:tcPr>
            <w:tcW w:w="1545" w:type="dxa"/>
            <w:tcBorders>
              <w:top w:val="single" w:sz="12" w:space="0" w:color="auto"/>
              <w:bottom w:val="single" w:sz="12" w:space="0" w:color="auto"/>
            </w:tcBorders>
            <w:shd w:val="clear" w:color="auto" w:fill="auto"/>
            <w:noWrap/>
            <w:vAlign w:val="center"/>
            <w:hideMark/>
          </w:tcPr>
          <w:p w14:paraId="2B8E0305" w14:textId="77777777" w:rsidR="00AA3A5F" w:rsidRPr="00B25A22" w:rsidRDefault="00AA3A5F" w:rsidP="007A68D5">
            <w:pPr>
              <w:jc w:val="left"/>
              <w:rPr>
                <w:rFonts w:cs="Times New Roman"/>
                <w:b/>
                <w:bCs/>
                <w:sz w:val="20"/>
                <w:szCs w:val="20"/>
                <w:lang w:val="cs-CZ"/>
              </w:rPr>
            </w:pPr>
            <w:r w:rsidRPr="00B25A22">
              <w:rPr>
                <w:rFonts w:cs="Times New Roman"/>
                <w:b/>
                <w:bCs/>
                <w:sz w:val="20"/>
                <w:szCs w:val="20"/>
                <w:lang w:val="cs-CZ"/>
              </w:rPr>
              <w:t>Chovatel</w:t>
            </w:r>
          </w:p>
        </w:tc>
        <w:tc>
          <w:tcPr>
            <w:tcW w:w="1415" w:type="dxa"/>
            <w:tcBorders>
              <w:top w:val="single" w:sz="12" w:space="0" w:color="auto"/>
              <w:bottom w:val="single" w:sz="12" w:space="0" w:color="auto"/>
            </w:tcBorders>
            <w:shd w:val="clear" w:color="auto" w:fill="auto"/>
            <w:vAlign w:val="center"/>
            <w:hideMark/>
          </w:tcPr>
          <w:p w14:paraId="0216B00F" w14:textId="77777777" w:rsidR="00AA3A5F" w:rsidRPr="00B25A22" w:rsidRDefault="00AA3A5F" w:rsidP="007A68D5">
            <w:pPr>
              <w:jc w:val="center"/>
              <w:rPr>
                <w:rFonts w:cs="Times New Roman"/>
                <w:b/>
                <w:bCs/>
                <w:sz w:val="20"/>
                <w:szCs w:val="20"/>
                <w:lang w:val="cs-CZ"/>
              </w:rPr>
            </w:pPr>
            <w:r w:rsidRPr="00B25A22">
              <w:rPr>
                <w:rFonts w:cs="Times New Roman"/>
                <w:b/>
                <w:bCs/>
                <w:sz w:val="20"/>
                <w:szCs w:val="20"/>
                <w:lang w:val="cs-CZ"/>
              </w:rPr>
              <w:t>Počet chovatelů</w:t>
            </w:r>
          </w:p>
        </w:tc>
        <w:tc>
          <w:tcPr>
            <w:tcW w:w="1560" w:type="dxa"/>
            <w:tcBorders>
              <w:top w:val="single" w:sz="12" w:space="0" w:color="auto"/>
              <w:bottom w:val="single" w:sz="12" w:space="0" w:color="auto"/>
            </w:tcBorders>
            <w:shd w:val="clear" w:color="auto" w:fill="auto"/>
            <w:vAlign w:val="center"/>
            <w:hideMark/>
          </w:tcPr>
          <w:p w14:paraId="3B6CEFBD" w14:textId="77777777" w:rsidR="00AA3A5F" w:rsidRPr="00B25A22" w:rsidRDefault="00AA3A5F" w:rsidP="007A68D5">
            <w:pPr>
              <w:jc w:val="center"/>
              <w:rPr>
                <w:rFonts w:cs="Times New Roman"/>
                <w:b/>
                <w:bCs/>
                <w:sz w:val="20"/>
                <w:szCs w:val="20"/>
                <w:lang w:val="cs-CZ"/>
              </w:rPr>
            </w:pPr>
            <w:r w:rsidRPr="00B25A22">
              <w:rPr>
                <w:rFonts w:cs="Times New Roman"/>
                <w:b/>
                <w:bCs/>
                <w:sz w:val="20"/>
                <w:szCs w:val="20"/>
                <w:lang w:val="cs-CZ"/>
              </w:rPr>
              <w:t>Stavy prasat celkem</w:t>
            </w:r>
            <w:r w:rsidRPr="00B25A22">
              <w:rPr>
                <w:rFonts w:cs="Times New Roman"/>
                <w:b/>
                <w:bCs/>
                <w:sz w:val="20"/>
                <w:szCs w:val="20"/>
                <w:lang w:val="cs-CZ"/>
              </w:rPr>
              <w:br/>
              <w:t xml:space="preserve">za skupinu </w:t>
            </w:r>
            <w:r w:rsidRPr="00B25A22">
              <w:rPr>
                <w:rFonts w:cs="Times New Roman"/>
                <w:b/>
                <w:bCs/>
                <w:sz w:val="20"/>
                <w:szCs w:val="20"/>
                <w:lang w:val="cs-CZ"/>
              </w:rPr>
              <w:br/>
              <w:t>v ks</w:t>
            </w:r>
          </w:p>
        </w:tc>
        <w:tc>
          <w:tcPr>
            <w:tcW w:w="1560" w:type="dxa"/>
            <w:tcBorders>
              <w:top w:val="single" w:sz="12" w:space="0" w:color="auto"/>
              <w:bottom w:val="single" w:sz="12" w:space="0" w:color="auto"/>
            </w:tcBorders>
            <w:shd w:val="clear" w:color="auto" w:fill="auto"/>
            <w:noWrap/>
            <w:vAlign w:val="center"/>
            <w:hideMark/>
          </w:tcPr>
          <w:p w14:paraId="5D35F9A8" w14:textId="77777777" w:rsidR="00AA3A5F" w:rsidRPr="00B25A22" w:rsidRDefault="00AA3A5F" w:rsidP="007A68D5">
            <w:pPr>
              <w:jc w:val="center"/>
              <w:rPr>
                <w:rFonts w:cs="Times New Roman"/>
                <w:b/>
                <w:bCs/>
                <w:sz w:val="20"/>
                <w:szCs w:val="20"/>
                <w:lang w:val="cs-CZ"/>
              </w:rPr>
            </w:pPr>
            <w:r w:rsidRPr="00B25A22">
              <w:rPr>
                <w:rFonts w:cs="Times New Roman"/>
                <w:b/>
                <w:bCs/>
                <w:sz w:val="20"/>
                <w:szCs w:val="20"/>
                <w:lang w:val="cs-CZ"/>
              </w:rPr>
              <w:t xml:space="preserve">Počet prasat </w:t>
            </w:r>
            <w:r w:rsidRPr="00B25A22">
              <w:rPr>
                <w:rFonts w:cs="Times New Roman"/>
                <w:b/>
                <w:bCs/>
                <w:sz w:val="20"/>
                <w:szCs w:val="20"/>
                <w:lang w:val="cs-CZ"/>
              </w:rPr>
              <w:br/>
              <w:t xml:space="preserve">na podnik </w:t>
            </w:r>
            <w:r w:rsidRPr="00B25A22">
              <w:rPr>
                <w:rFonts w:cs="Times New Roman"/>
                <w:b/>
                <w:bCs/>
                <w:sz w:val="20"/>
                <w:szCs w:val="20"/>
                <w:lang w:val="cs-CZ"/>
              </w:rPr>
              <w:br/>
              <w:t>v ks</w:t>
            </w:r>
          </w:p>
        </w:tc>
        <w:tc>
          <w:tcPr>
            <w:tcW w:w="1560" w:type="dxa"/>
            <w:tcBorders>
              <w:top w:val="single" w:sz="12" w:space="0" w:color="auto"/>
              <w:bottom w:val="single" w:sz="12" w:space="0" w:color="auto"/>
            </w:tcBorders>
            <w:shd w:val="clear" w:color="auto" w:fill="auto"/>
            <w:vAlign w:val="center"/>
            <w:hideMark/>
          </w:tcPr>
          <w:p w14:paraId="7AB78442" w14:textId="77777777" w:rsidR="00AA3A5F" w:rsidRPr="00B25A22" w:rsidRDefault="00AA3A5F" w:rsidP="007A68D5">
            <w:pPr>
              <w:jc w:val="center"/>
              <w:rPr>
                <w:rFonts w:cs="Times New Roman"/>
                <w:b/>
                <w:bCs/>
                <w:sz w:val="20"/>
                <w:szCs w:val="20"/>
                <w:lang w:val="cs-CZ"/>
              </w:rPr>
            </w:pPr>
            <w:r w:rsidRPr="00B25A22">
              <w:rPr>
                <w:rFonts w:cs="Times New Roman"/>
                <w:b/>
                <w:bCs/>
                <w:sz w:val="20"/>
                <w:szCs w:val="20"/>
                <w:lang w:val="cs-CZ"/>
              </w:rPr>
              <w:t>Podíl prasat</w:t>
            </w:r>
            <w:r w:rsidRPr="00B25A22">
              <w:rPr>
                <w:rFonts w:cs="Times New Roman"/>
                <w:b/>
                <w:bCs/>
                <w:sz w:val="20"/>
                <w:szCs w:val="20"/>
                <w:lang w:val="cs-CZ"/>
              </w:rPr>
              <w:br/>
              <w:t xml:space="preserve"> na chovatele z celkového počtu  v %</w:t>
            </w:r>
          </w:p>
        </w:tc>
        <w:tc>
          <w:tcPr>
            <w:tcW w:w="1560" w:type="dxa"/>
            <w:tcBorders>
              <w:top w:val="single" w:sz="12" w:space="0" w:color="auto"/>
              <w:bottom w:val="single" w:sz="12" w:space="0" w:color="auto"/>
            </w:tcBorders>
            <w:shd w:val="clear" w:color="auto" w:fill="auto"/>
            <w:vAlign w:val="center"/>
            <w:hideMark/>
          </w:tcPr>
          <w:p w14:paraId="6D59DD32" w14:textId="77777777" w:rsidR="00AA3A5F" w:rsidRPr="00B25A22" w:rsidRDefault="00AA3A5F" w:rsidP="007A68D5">
            <w:pPr>
              <w:jc w:val="center"/>
              <w:rPr>
                <w:rFonts w:cs="Times New Roman"/>
                <w:b/>
                <w:bCs/>
                <w:sz w:val="20"/>
                <w:szCs w:val="20"/>
                <w:lang w:val="cs-CZ"/>
              </w:rPr>
            </w:pPr>
            <w:r w:rsidRPr="00B25A22">
              <w:rPr>
                <w:rFonts w:cs="Times New Roman"/>
                <w:b/>
                <w:bCs/>
                <w:sz w:val="20"/>
                <w:szCs w:val="20"/>
                <w:lang w:val="cs-CZ"/>
              </w:rPr>
              <w:t xml:space="preserve">Podíl chovatelů </w:t>
            </w:r>
            <w:r w:rsidRPr="00B25A22">
              <w:rPr>
                <w:rFonts w:cs="Times New Roman"/>
                <w:b/>
                <w:bCs/>
                <w:sz w:val="20"/>
                <w:szCs w:val="20"/>
                <w:lang w:val="cs-CZ"/>
              </w:rPr>
              <w:br/>
              <w:t>z celkového počtu v %</w:t>
            </w:r>
          </w:p>
        </w:tc>
      </w:tr>
      <w:tr w:rsidR="00AA3A5F" w:rsidRPr="00B25A22" w14:paraId="2D74C7D0" w14:textId="77777777" w:rsidTr="007A68D5">
        <w:trPr>
          <w:trHeight w:val="270"/>
        </w:trPr>
        <w:tc>
          <w:tcPr>
            <w:tcW w:w="1545" w:type="dxa"/>
            <w:tcBorders>
              <w:top w:val="single" w:sz="12" w:space="0" w:color="auto"/>
            </w:tcBorders>
            <w:shd w:val="clear" w:color="auto" w:fill="auto"/>
            <w:noWrap/>
            <w:vAlign w:val="center"/>
            <w:hideMark/>
          </w:tcPr>
          <w:p w14:paraId="12BEB57C"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1 - 100ks</w:t>
            </w:r>
          </w:p>
        </w:tc>
        <w:tc>
          <w:tcPr>
            <w:tcW w:w="1415" w:type="dxa"/>
            <w:tcBorders>
              <w:top w:val="single" w:sz="12" w:space="0" w:color="auto"/>
            </w:tcBorders>
            <w:shd w:val="clear" w:color="auto" w:fill="auto"/>
            <w:vAlign w:val="center"/>
            <w:hideMark/>
          </w:tcPr>
          <w:p w14:paraId="394515BD"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2 446</w:t>
            </w:r>
          </w:p>
        </w:tc>
        <w:tc>
          <w:tcPr>
            <w:tcW w:w="1560" w:type="dxa"/>
            <w:tcBorders>
              <w:top w:val="single" w:sz="12" w:space="0" w:color="auto"/>
            </w:tcBorders>
            <w:shd w:val="clear" w:color="auto" w:fill="auto"/>
            <w:vAlign w:val="center"/>
            <w:hideMark/>
          </w:tcPr>
          <w:p w14:paraId="2A5FB646"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46 914</w:t>
            </w:r>
          </w:p>
        </w:tc>
        <w:tc>
          <w:tcPr>
            <w:tcW w:w="1560" w:type="dxa"/>
            <w:tcBorders>
              <w:top w:val="single" w:sz="12" w:space="0" w:color="auto"/>
            </w:tcBorders>
            <w:shd w:val="clear" w:color="auto" w:fill="auto"/>
            <w:noWrap/>
            <w:vAlign w:val="center"/>
            <w:hideMark/>
          </w:tcPr>
          <w:p w14:paraId="34E06144"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19</w:t>
            </w:r>
          </w:p>
        </w:tc>
        <w:tc>
          <w:tcPr>
            <w:tcW w:w="1560" w:type="dxa"/>
            <w:tcBorders>
              <w:top w:val="single" w:sz="12" w:space="0" w:color="auto"/>
            </w:tcBorders>
            <w:shd w:val="clear" w:color="auto" w:fill="auto"/>
            <w:vAlign w:val="center"/>
            <w:hideMark/>
          </w:tcPr>
          <w:p w14:paraId="1F002C45"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3,0</w:t>
            </w:r>
          </w:p>
        </w:tc>
        <w:tc>
          <w:tcPr>
            <w:tcW w:w="1560" w:type="dxa"/>
            <w:tcBorders>
              <w:top w:val="single" w:sz="12" w:space="0" w:color="auto"/>
            </w:tcBorders>
            <w:shd w:val="clear" w:color="auto" w:fill="auto"/>
            <w:vAlign w:val="center"/>
            <w:hideMark/>
          </w:tcPr>
          <w:p w14:paraId="64AF203E"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85,0</w:t>
            </w:r>
          </w:p>
        </w:tc>
      </w:tr>
      <w:tr w:rsidR="00AA3A5F" w:rsidRPr="00B25A22" w14:paraId="340EE5DE" w14:textId="77777777" w:rsidTr="007A68D5">
        <w:trPr>
          <w:trHeight w:val="270"/>
        </w:trPr>
        <w:tc>
          <w:tcPr>
            <w:tcW w:w="1545" w:type="dxa"/>
            <w:shd w:val="clear" w:color="auto" w:fill="auto"/>
            <w:noWrap/>
            <w:vAlign w:val="center"/>
            <w:hideMark/>
          </w:tcPr>
          <w:p w14:paraId="74222F81"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101 - 500ks</w:t>
            </w:r>
          </w:p>
        </w:tc>
        <w:tc>
          <w:tcPr>
            <w:tcW w:w="1415" w:type="dxa"/>
            <w:shd w:val="clear" w:color="auto" w:fill="auto"/>
            <w:vAlign w:val="center"/>
            <w:hideMark/>
          </w:tcPr>
          <w:p w14:paraId="5E8569DD"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174</w:t>
            </w:r>
          </w:p>
        </w:tc>
        <w:tc>
          <w:tcPr>
            <w:tcW w:w="1560" w:type="dxa"/>
            <w:shd w:val="clear" w:color="auto" w:fill="auto"/>
            <w:vAlign w:val="center"/>
            <w:hideMark/>
          </w:tcPr>
          <w:p w14:paraId="3F3B22D2"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38 109</w:t>
            </w:r>
          </w:p>
        </w:tc>
        <w:tc>
          <w:tcPr>
            <w:tcW w:w="1560" w:type="dxa"/>
            <w:shd w:val="clear" w:color="auto" w:fill="auto"/>
            <w:noWrap/>
            <w:vAlign w:val="center"/>
            <w:hideMark/>
          </w:tcPr>
          <w:p w14:paraId="5AB39C77"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219</w:t>
            </w:r>
          </w:p>
        </w:tc>
        <w:tc>
          <w:tcPr>
            <w:tcW w:w="1560" w:type="dxa"/>
            <w:shd w:val="clear" w:color="auto" w:fill="auto"/>
            <w:vAlign w:val="center"/>
            <w:hideMark/>
          </w:tcPr>
          <w:p w14:paraId="37867AB1"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2,4</w:t>
            </w:r>
          </w:p>
        </w:tc>
        <w:tc>
          <w:tcPr>
            <w:tcW w:w="1560" w:type="dxa"/>
            <w:shd w:val="clear" w:color="auto" w:fill="auto"/>
            <w:vAlign w:val="center"/>
            <w:hideMark/>
          </w:tcPr>
          <w:p w14:paraId="3D1D9CA3"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6,0</w:t>
            </w:r>
          </w:p>
        </w:tc>
      </w:tr>
      <w:tr w:rsidR="00AA3A5F" w:rsidRPr="00B25A22" w14:paraId="66648D16" w14:textId="77777777" w:rsidTr="007A68D5">
        <w:trPr>
          <w:trHeight w:val="270"/>
        </w:trPr>
        <w:tc>
          <w:tcPr>
            <w:tcW w:w="1545" w:type="dxa"/>
            <w:shd w:val="clear" w:color="auto" w:fill="auto"/>
            <w:noWrap/>
            <w:vAlign w:val="center"/>
            <w:hideMark/>
          </w:tcPr>
          <w:p w14:paraId="3A954885"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501 - 2000ks</w:t>
            </w:r>
          </w:p>
        </w:tc>
        <w:tc>
          <w:tcPr>
            <w:tcW w:w="1415" w:type="dxa"/>
            <w:shd w:val="clear" w:color="auto" w:fill="auto"/>
            <w:vAlign w:val="center"/>
            <w:hideMark/>
          </w:tcPr>
          <w:p w14:paraId="0C0BEC1D"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120</w:t>
            </w:r>
          </w:p>
        </w:tc>
        <w:tc>
          <w:tcPr>
            <w:tcW w:w="1560" w:type="dxa"/>
            <w:shd w:val="clear" w:color="auto" w:fill="auto"/>
            <w:vAlign w:val="center"/>
            <w:hideMark/>
          </w:tcPr>
          <w:p w14:paraId="406DC730"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134 073</w:t>
            </w:r>
          </w:p>
        </w:tc>
        <w:tc>
          <w:tcPr>
            <w:tcW w:w="1560" w:type="dxa"/>
            <w:shd w:val="clear" w:color="auto" w:fill="auto"/>
            <w:noWrap/>
            <w:vAlign w:val="center"/>
            <w:hideMark/>
          </w:tcPr>
          <w:p w14:paraId="4E7F4E2F"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1 117</w:t>
            </w:r>
          </w:p>
        </w:tc>
        <w:tc>
          <w:tcPr>
            <w:tcW w:w="1560" w:type="dxa"/>
            <w:shd w:val="clear" w:color="auto" w:fill="auto"/>
            <w:vAlign w:val="center"/>
            <w:hideMark/>
          </w:tcPr>
          <w:p w14:paraId="04E74170"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8,5</w:t>
            </w:r>
          </w:p>
        </w:tc>
        <w:tc>
          <w:tcPr>
            <w:tcW w:w="1560" w:type="dxa"/>
            <w:shd w:val="clear" w:color="auto" w:fill="auto"/>
            <w:vAlign w:val="center"/>
            <w:hideMark/>
          </w:tcPr>
          <w:p w14:paraId="36C6096E"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4,2</w:t>
            </w:r>
          </w:p>
        </w:tc>
      </w:tr>
      <w:tr w:rsidR="00AA3A5F" w:rsidRPr="00B25A22" w14:paraId="5F44662A" w14:textId="77777777" w:rsidTr="007A68D5">
        <w:trPr>
          <w:trHeight w:val="270"/>
        </w:trPr>
        <w:tc>
          <w:tcPr>
            <w:tcW w:w="1545" w:type="dxa"/>
            <w:shd w:val="clear" w:color="auto" w:fill="auto"/>
            <w:noWrap/>
            <w:vAlign w:val="center"/>
            <w:hideMark/>
          </w:tcPr>
          <w:p w14:paraId="3A8573D0"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2001 - 10 000ks</w:t>
            </w:r>
          </w:p>
        </w:tc>
        <w:tc>
          <w:tcPr>
            <w:tcW w:w="1415" w:type="dxa"/>
            <w:shd w:val="clear" w:color="auto" w:fill="auto"/>
            <w:vAlign w:val="center"/>
            <w:hideMark/>
          </w:tcPr>
          <w:p w14:paraId="2CB8BED7"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106</w:t>
            </w:r>
          </w:p>
        </w:tc>
        <w:tc>
          <w:tcPr>
            <w:tcW w:w="1560" w:type="dxa"/>
            <w:shd w:val="clear" w:color="auto" w:fill="auto"/>
            <w:vAlign w:val="center"/>
            <w:hideMark/>
          </w:tcPr>
          <w:p w14:paraId="467E147F"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446 913</w:t>
            </w:r>
          </w:p>
        </w:tc>
        <w:tc>
          <w:tcPr>
            <w:tcW w:w="1560" w:type="dxa"/>
            <w:shd w:val="clear" w:color="auto" w:fill="auto"/>
            <w:noWrap/>
            <w:vAlign w:val="center"/>
            <w:hideMark/>
          </w:tcPr>
          <w:p w14:paraId="6DE53688"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4 216</w:t>
            </w:r>
          </w:p>
        </w:tc>
        <w:tc>
          <w:tcPr>
            <w:tcW w:w="1560" w:type="dxa"/>
            <w:shd w:val="clear" w:color="auto" w:fill="auto"/>
            <w:vAlign w:val="center"/>
            <w:hideMark/>
          </w:tcPr>
          <w:p w14:paraId="0D69FCEA"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28,5</w:t>
            </w:r>
          </w:p>
        </w:tc>
        <w:tc>
          <w:tcPr>
            <w:tcW w:w="1560" w:type="dxa"/>
            <w:shd w:val="clear" w:color="auto" w:fill="auto"/>
            <w:vAlign w:val="center"/>
            <w:hideMark/>
          </w:tcPr>
          <w:p w14:paraId="36185A13"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3,7</w:t>
            </w:r>
          </w:p>
        </w:tc>
      </w:tr>
      <w:tr w:rsidR="00AA3A5F" w:rsidRPr="00B25A22" w14:paraId="24CCE888" w14:textId="77777777" w:rsidTr="007A68D5">
        <w:trPr>
          <w:trHeight w:val="270"/>
        </w:trPr>
        <w:tc>
          <w:tcPr>
            <w:tcW w:w="1545" w:type="dxa"/>
            <w:shd w:val="clear" w:color="auto" w:fill="auto"/>
            <w:noWrap/>
            <w:vAlign w:val="center"/>
            <w:hideMark/>
          </w:tcPr>
          <w:p w14:paraId="5E103C3D"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Nad 10 000</w:t>
            </w:r>
          </w:p>
        </w:tc>
        <w:tc>
          <w:tcPr>
            <w:tcW w:w="1415" w:type="dxa"/>
            <w:shd w:val="clear" w:color="auto" w:fill="auto"/>
            <w:vAlign w:val="center"/>
            <w:hideMark/>
          </w:tcPr>
          <w:p w14:paraId="2FE3C7FA"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33</w:t>
            </w:r>
          </w:p>
        </w:tc>
        <w:tc>
          <w:tcPr>
            <w:tcW w:w="1560" w:type="dxa"/>
            <w:shd w:val="clear" w:color="auto" w:fill="auto"/>
            <w:vAlign w:val="center"/>
            <w:hideMark/>
          </w:tcPr>
          <w:p w14:paraId="507B972A"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903 880</w:t>
            </w:r>
          </w:p>
        </w:tc>
        <w:tc>
          <w:tcPr>
            <w:tcW w:w="1560" w:type="dxa"/>
            <w:shd w:val="clear" w:color="auto" w:fill="auto"/>
            <w:noWrap/>
            <w:vAlign w:val="center"/>
            <w:hideMark/>
          </w:tcPr>
          <w:p w14:paraId="3062FBD4"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27 390</w:t>
            </w:r>
          </w:p>
        </w:tc>
        <w:tc>
          <w:tcPr>
            <w:tcW w:w="1560" w:type="dxa"/>
            <w:shd w:val="clear" w:color="auto" w:fill="auto"/>
            <w:vAlign w:val="center"/>
            <w:hideMark/>
          </w:tcPr>
          <w:p w14:paraId="6063B820"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57,6</w:t>
            </w:r>
          </w:p>
        </w:tc>
        <w:tc>
          <w:tcPr>
            <w:tcW w:w="1560" w:type="dxa"/>
            <w:shd w:val="clear" w:color="auto" w:fill="auto"/>
            <w:vAlign w:val="center"/>
            <w:hideMark/>
          </w:tcPr>
          <w:p w14:paraId="6C9B81BC" w14:textId="77777777" w:rsidR="00AA3A5F" w:rsidRPr="00B25A22" w:rsidRDefault="00AA3A5F" w:rsidP="007A68D5">
            <w:pPr>
              <w:ind w:right="343"/>
              <w:jc w:val="right"/>
              <w:rPr>
                <w:rFonts w:cs="Times New Roman"/>
                <w:sz w:val="20"/>
                <w:szCs w:val="20"/>
                <w:lang w:val="cs-CZ"/>
              </w:rPr>
            </w:pPr>
            <w:r w:rsidRPr="00B25A22">
              <w:rPr>
                <w:rFonts w:cs="Times New Roman"/>
                <w:sz w:val="20"/>
                <w:szCs w:val="20"/>
                <w:lang w:val="cs-CZ"/>
              </w:rPr>
              <w:t>1,1</w:t>
            </w:r>
          </w:p>
        </w:tc>
      </w:tr>
      <w:tr w:rsidR="00AA3A5F" w:rsidRPr="00B25A22" w14:paraId="5CD3FEE5" w14:textId="77777777" w:rsidTr="007A68D5">
        <w:trPr>
          <w:trHeight w:val="270"/>
        </w:trPr>
        <w:tc>
          <w:tcPr>
            <w:tcW w:w="1545" w:type="dxa"/>
            <w:shd w:val="clear" w:color="auto" w:fill="auto"/>
            <w:noWrap/>
            <w:vAlign w:val="center"/>
            <w:hideMark/>
          </w:tcPr>
          <w:p w14:paraId="64017E26" w14:textId="77777777" w:rsidR="00AA3A5F" w:rsidRPr="00B25A22" w:rsidRDefault="00AA3A5F" w:rsidP="007A68D5">
            <w:pPr>
              <w:jc w:val="left"/>
              <w:rPr>
                <w:rFonts w:cs="Times New Roman"/>
                <w:b/>
                <w:bCs/>
                <w:sz w:val="20"/>
                <w:szCs w:val="20"/>
                <w:lang w:val="cs-CZ"/>
              </w:rPr>
            </w:pPr>
            <w:r w:rsidRPr="00B25A22">
              <w:rPr>
                <w:rFonts w:cs="Times New Roman"/>
                <w:b/>
                <w:bCs/>
                <w:sz w:val="20"/>
                <w:szCs w:val="20"/>
                <w:lang w:val="cs-CZ"/>
              </w:rPr>
              <w:t>Celkem</w:t>
            </w:r>
          </w:p>
        </w:tc>
        <w:tc>
          <w:tcPr>
            <w:tcW w:w="1415" w:type="dxa"/>
            <w:shd w:val="clear" w:color="auto" w:fill="auto"/>
            <w:vAlign w:val="center"/>
            <w:hideMark/>
          </w:tcPr>
          <w:p w14:paraId="2851625B" w14:textId="77777777" w:rsidR="00AA3A5F" w:rsidRPr="00B25A22" w:rsidRDefault="00AA3A5F" w:rsidP="007A68D5">
            <w:pPr>
              <w:ind w:right="343"/>
              <w:jc w:val="right"/>
              <w:rPr>
                <w:rFonts w:cs="Times New Roman"/>
                <w:b/>
                <w:bCs/>
                <w:sz w:val="20"/>
                <w:szCs w:val="20"/>
                <w:lang w:val="cs-CZ"/>
              </w:rPr>
            </w:pPr>
            <w:r w:rsidRPr="00B25A22">
              <w:rPr>
                <w:rFonts w:cs="Times New Roman"/>
                <w:b/>
                <w:bCs/>
                <w:sz w:val="20"/>
                <w:szCs w:val="20"/>
                <w:lang w:val="cs-CZ"/>
              </w:rPr>
              <w:t>2 879</w:t>
            </w:r>
          </w:p>
        </w:tc>
        <w:tc>
          <w:tcPr>
            <w:tcW w:w="1560" w:type="dxa"/>
            <w:shd w:val="clear" w:color="auto" w:fill="auto"/>
            <w:vAlign w:val="center"/>
            <w:hideMark/>
          </w:tcPr>
          <w:p w14:paraId="5536FBC6" w14:textId="77777777" w:rsidR="00AA3A5F" w:rsidRPr="00B25A22" w:rsidRDefault="00AA3A5F" w:rsidP="007A68D5">
            <w:pPr>
              <w:ind w:right="343"/>
              <w:jc w:val="right"/>
              <w:rPr>
                <w:rFonts w:cs="Times New Roman"/>
                <w:b/>
                <w:bCs/>
                <w:sz w:val="20"/>
                <w:szCs w:val="20"/>
                <w:lang w:val="cs-CZ"/>
              </w:rPr>
            </w:pPr>
            <w:r w:rsidRPr="00B25A22">
              <w:rPr>
                <w:rFonts w:cs="Times New Roman"/>
                <w:b/>
                <w:bCs/>
                <w:sz w:val="20"/>
                <w:szCs w:val="20"/>
                <w:lang w:val="cs-CZ"/>
              </w:rPr>
              <w:t>1 569 889</w:t>
            </w:r>
          </w:p>
        </w:tc>
        <w:tc>
          <w:tcPr>
            <w:tcW w:w="1560" w:type="dxa"/>
            <w:shd w:val="clear" w:color="auto" w:fill="auto"/>
            <w:noWrap/>
            <w:vAlign w:val="center"/>
            <w:hideMark/>
          </w:tcPr>
          <w:p w14:paraId="3965B60B" w14:textId="77777777" w:rsidR="00AA3A5F" w:rsidRPr="00B25A22" w:rsidRDefault="00AA3A5F" w:rsidP="007A68D5">
            <w:pPr>
              <w:ind w:right="343"/>
              <w:jc w:val="right"/>
              <w:rPr>
                <w:rFonts w:cs="Times New Roman"/>
                <w:b/>
                <w:bCs/>
                <w:sz w:val="20"/>
                <w:szCs w:val="20"/>
                <w:lang w:val="cs-CZ"/>
              </w:rPr>
            </w:pPr>
            <w:r w:rsidRPr="00B25A22">
              <w:rPr>
                <w:rFonts w:cs="Times New Roman"/>
                <w:b/>
                <w:bCs/>
                <w:sz w:val="20"/>
                <w:szCs w:val="20"/>
                <w:lang w:val="cs-CZ"/>
              </w:rPr>
              <w:t>545</w:t>
            </w:r>
          </w:p>
        </w:tc>
        <w:tc>
          <w:tcPr>
            <w:tcW w:w="1560" w:type="dxa"/>
            <w:shd w:val="clear" w:color="auto" w:fill="auto"/>
            <w:vAlign w:val="center"/>
            <w:hideMark/>
          </w:tcPr>
          <w:p w14:paraId="0E05990B" w14:textId="77777777" w:rsidR="00AA3A5F" w:rsidRPr="00B25A22" w:rsidRDefault="00AA3A5F" w:rsidP="007A68D5">
            <w:pPr>
              <w:ind w:right="343"/>
              <w:jc w:val="right"/>
              <w:rPr>
                <w:rFonts w:cs="Times New Roman"/>
                <w:b/>
                <w:bCs/>
                <w:sz w:val="20"/>
                <w:szCs w:val="20"/>
                <w:lang w:val="cs-CZ"/>
              </w:rPr>
            </w:pPr>
            <w:r w:rsidRPr="00B25A22">
              <w:rPr>
                <w:rFonts w:cs="Times New Roman"/>
                <w:b/>
                <w:bCs/>
                <w:sz w:val="20"/>
                <w:szCs w:val="20"/>
                <w:lang w:val="cs-CZ"/>
              </w:rPr>
              <w:t>100,0</w:t>
            </w:r>
          </w:p>
        </w:tc>
        <w:tc>
          <w:tcPr>
            <w:tcW w:w="1560" w:type="dxa"/>
            <w:shd w:val="clear" w:color="auto" w:fill="auto"/>
            <w:vAlign w:val="center"/>
            <w:hideMark/>
          </w:tcPr>
          <w:p w14:paraId="07CCF4B2" w14:textId="77777777" w:rsidR="00AA3A5F" w:rsidRPr="00B25A22" w:rsidRDefault="00AA3A5F" w:rsidP="007A68D5">
            <w:pPr>
              <w:ind w:right="343"/>
              <w:jc w:val="right"/>
              <w:rPr>
                <w:rFonts w:cs="Times New Roman"/>
                <w:b/>
                <w:bCs/>
                <w:sz w:val="20"/>
                <w:szCs w:val="20"/>
                <w:lang w:val="cs-CZ"/>
              </w:rPr>
            </w:pPr>
            <w:r w:rsidRPr="00B25A22">
              <w:rPr>
                <w:rFonts w:cs="Times New Roman"/>
                <w:b/>
                <w:bCs/>
                <w:sz w:val="20"/>
                <w:szCs w:val="20"/>
                <w:lang w:val="cs-CZ"/>
              </w:rPr>
              <w:t>100,0</w:t>
            </w:r>
          </w:p>
        </w:tc>
      </w:tr>
    </w:tbl>
    <w:p w14:paraId="4BE673CD" w14:textId="77777777" w:rsidR="00AA3A5F" w:rsidRPr="00B25A22" w:rsidRDefault="00AA3A5F" w:rsidP="00B25A22">
      <w:pPr>
        <w:pStyle w:val="UZEIZdroj"/>
        <w:rPr>
          <w:rStyle w:val="Siln"/>
          <w:b w:val="0"/>
          <w:i w:val="0"/>
          <w:sz w:val="18"/>
          <w:szCs w:val="18"/>
        </w:rPr>
      </w:pPr>
      <w:r w:rsidRPr="00B25A22">
        <w:rPr>
          <w:rStyle w:val="Siln"/>
          <w:sz w:val="18"/>
          <w:szCs w:val="18"/>
        </w:rPr>
        <w:t xml:space="preserve">Pramen: MZe, IRZ, podíly - výpočet ÚZEI </w:t>
      </w:r>
    </w:p>
    <w:p w14:paraId="62F56CCB" w14:textId="77777777" w:rsidR="00AA3A5F" w:rsidRPr="00B25A22" w:rsidRDefault="00AA3A5F" w:rsidP="00B25A22">
      <w:pPr>
        <w:pStyle w:val="UZEINormaln"/>
      </w:pPr>
      <w:r w:rsidRPr="00B25A22">
        <w:t>V ČR je chov prasat soustředěný převážně do větších podniků, neboť 58 % produkce zajišťuje 1 % chovatelů s průměrným počtem zvířat v podniku převyšujícím 27 tis. ks. Během let 2010 až 2016 se počet velmi velkých chovatelů sice výrazně snížil, ale u této kategorie došlo k dalšímu růstu počtu chovaných prasat. Od roku 2016 do roku 2019 došlo k dalšímu úbytku velkých chovatelů, ale zvýšil se počet chovaných zvířat na podnik z 26 tis. na 27,4 tis. ks. Chovatelé s vysokou koncentrací prasat v podniku pak mohou mít lepší vyjednávací pozici na trhu vůči odběratelům, neboť jsou schopni jim zajistit během roku stálý přísun suroviny. Jedná se většinou o vysoce specializované podniky s moderními technologiemi a vysokou normou obsluhy. Počet velmi malých chovatelů s počtem zvířat do 100 ks se v hodnoceném období příliš neměnil. Pro tyto producenty však není produkce vepřového masa zpravidla hlavním zdrojem příjmů. Odběrateli jsou v tomto případě často lokální zpracovatelé nebo se i sami chovatelé v rámci diverzifikace činnosti zabývají vlastním zpracováním masa a výrobou masných a uzenářských výrobků. Jatečná zvířata si však většinou nechávají porážet na jatkách.</w:t>
      </w:r>
    </w:p>
    <w:p w14:paraId="7C5B821B" w14:textId="77777777" w:rsidR="00AA3A5F" w:rsidRPr="00B25A22" w:rsidRDefault="00AA3A5F" w:rsidP="00B25A22">
      <w:pPr>
        <w:pStyle w:val="UZEINormaln"/>
      </w:pPr>
      <w:r w:rsidRPr="00B25A22">
        <w:t xml:space="preserve">V ČR se nacházejí jatky porážející skot i prasata prakticky v každém kraji, to znamená, že se jatečný skot i prasata zpravidla nepřevážejí za účelem porážky na velké vzdálenosti. </w:t>
      </w:r>
    </w:p>
    <w:p w14:paraId="5D9B4842" w14:textId="77777777" w:rsidR="00AA3A5F" w:rsidRPr="00B25A22" w:rsidRDefault="00AA3A5F" w:rsidP="00B25A22">
      <w:pPr>
        <w:pStyle w:val="UZEINormaln"/>
        <w:rPr>
          <w:b/>
          <w:bCs/>
        </w:rPr>
      </w:pPr>
    </w:p>
    <w:p w14:paraId="292FEEF5" w14:textId="77777777" w:rsidR="00AA3A5F" w:rsidRPr="00B25A22" w:rsidRDefault="00AA3A5F" w:rsidP="00AA3A5F">
      <w:pPr>
        <w:spacing w:before="240"/>
        <w:rPr>
          <w:rFonts w:cs="Times New Roman"/>
          <w:b/>
          <w:bCs/>
          <w:sz w:val="22"/>
          <w:lang w:val="cs-CZ"/>
        </w:rPr>
      </w:pPr>
    </w:p>
    <w:p w14:paraId="2EEF04D2" w14:textId="77777777" w:rsidR="00AA3A5F" w:rsidRPr="00B25A22" w:rsidRDefault="00AA3A5F" w:rsidP="00B25A22">
      <w:pPr>
        <w:pStyle w:val="UZEINormaln"/>
        <w:rPr>
          <w:b/>
          <w:bCs/>
        </w:rPr>
      </w:pPr>
      <w:r w:rsidRPr="00B25A22">
        <w:rPr>
          <w:b/>
          <w:bCs/>
        </w:rPr>
        <w:t>Ostatní odvětví</w:t>
      </w:r>
    </w:p>
    <w:p w14:paraId="2298C1A2" w14:textId="77777777" w:rsidR="00AA3A5F" w:rsidRPr="00B25A22" w:rsidRDefault="00AA3A5F" w:rsidP="00B25A22">
      <w:pPr>
        <w:pStyle w:val="UZEINormaln"/>
      </w:pPr>
      <w:r w:rsidRPr="00B25A22">
        <w:t>Mimo odvětví mléka a ovoce a zeleniny byly k 23. 5. 2018 v ČR registrovány již jen čtyři organizace producentů, které fungují v odvětví vajec (Zlatá vejce, a.s.), vepřového masa (</w:t>
      </w:r>
      <w:proofErr w:type="spellStart"/>
      <w:r w:rsidRPr="00B25A22">
        <w:t>Agropork</w:t>
      </w:r>
      <w:proofErr w:type="spellEnd"/>
      <w:r w:rsidRPr="00B25A22">
        <w:t>, a.s.), hovězího a telecího masa (</w:t>
      </w:r>
      <w:proofErr w:type="spellStart"/>
      <w:r w:rsidRPr="00B25A22">
        <w:t>Viamilk</w:t>
      </w:r>
      <w:proofErr w:type="spellEnd"/>
      <w:r w:rsidRPr="00B25A22">
        <w:t xml:space="preserve">, a.s. – též pro odvětví mléka), a v odvětví olejnin - máku (Odbytové a hospodářské družstvo Kolín). K červenci 2020 jde o poslední zveřejněný údaj o počtu registrovaných OP v ostatních odvětvích. Podíly uznaných organizací producentů na produkci daného odvětví jsou významnější pouze u vajec (zhruba 23 % v roce 2018). V dalších odvětvích jsou podíly organizací producentů na produkci odvětví marginální; u vepřového masa zhruba 3 %, u hovězího a telecího masa se odhaduje zhruba 0,7 % (expertní odhad ÚZEI), a u odvětví olejnin a máku se odhaduje v roce 2017 zhruba 0,45 %. </w:t>
      </w:r>
    </w:p>
    <w:p w14:paraId="5949396B" w14:textId="77777777" w:rsidR="00AA3A5F" w:rsidRPr="00C30173" w:rsidRDefault="00AA3A5F" w:rsidP="00BA3563">
      <w:pPr>
        <w:pStyle w:val="Odstavecseseznamem"/>
        <w:numPr>
          <w:ilvl w:val="0"/>
          <w:numId w:val="35"/>
        </w:numPr>
        <w:rPr>
          <w:b/>
          <w:bCs/>
        </w:rPr>
      </w:pPr>
      <w:r w:rsidRPr="00C30173">
        <w:rPr>
          <w:b/>
          <w:bCs/>
        </w:rPr>
        <w:t xml:space="preserve">Absence diferenciace produktů prostřednictvím vertikálních režimů kvality zapojujících prvovýrobce k prosazení výrobků ve spotřebitelských preferencích. </w:t>
      </w:r>
    </w:p>
    <w:p w14:paraId="692CA858" w14:textId="77777777" w:rsidR="00AA3A5F" w:rsidRPr="00B25A22" w:rsidRDefault="00AA3A5F" w:rsidP="00C30173">
      <w:pPr>
        <w:pStyle w:val="UZEINormaln"/>
        <w:rPr>
          <w:rFonts w:eastAsia="Calibri"/>
        </w:rPr>
      </w:pPr>
      <w:r w:rsidRPr="00B25A22">
        <w:rPr>
          <w:rFonts w:eastAsia="Calibri"/>
        </w:rPr>
        <w:t>Podle teorie informační asymetrie, v obecném pojetí vědí výrobci o kvalitě výrobku mnohem více než kupující (</w:t>
      </w:r>
      <w:proofErr w:type="spellStart"/>
      <w:r w:rsidRPr="00B25A22">
        <w:rPr>
          <w:rFonts w:eastAsia="Calibri"/>
        </w:rPr>
        <w:t>Luhmann</w:t>
      </w:r>
      <w:proofErr w:type="spellEnd"/>
      <w:r w:rsidRPr="00B25A22">
        <w:rPr>
          <w:rFonts w:eastAsia="Calibri"/>
        </w:rPr>
        <w:t xml:space="preserve"> 1979, </w:t>
      </w:r>
      <w:proofErr w:type="spellStart"/>
      <w:r w:rsidRPr="00B25A22">
        <w:rPr>
          <w:rFonts w:eastAsia="Calibri"/>
        </w:rPr>
        <w:t>Darby</w:t>
      </w:r>
      <w:proofErr w:type="spellEnd"/>
      <w:r w:rsidRPr="00B25A22">
        <w:rPr>
          <w:rFonts w:eastAsia="Calibri"/>
        </w:rPr>
        <w:t xml:space="preserve"> and </w:t>
      </w:r>
      <w:proofErr w:type="spellStart"/>
      <w:r w:rsidRPr="00B25A22">
        <w:rPr>
          <w:rFonts w:eastAsia="Calibri"/>
        </w:rPr>
        <w:t>Karni</w:t>
      </w:r>
      <w:proofErr w:type="spellEnd"/>
      <w:r w:rsidRPr="00B25A22">
        <w:rPr>
          <w:rFonts w:eastAsia="Calibri"/>
        </w:rPr>
        <w:t xml:space="preserve"> 1973). Zahraniční výzkumy (</w:t>
      </w:r>
      <w:proofErr w:type="spellStart"/>
      <w:r w:rsidRPr="00B25A22">
        <w:rPr>
          <w:rFonts w:eastAsia="Calibri"/>
        </w:rPr>
        <w:t>Teuber</w:t>
      </w:r>
      <w:proofErr w:type="spellEnd"/>
      <w:r w:rsidRPr="00B25A22">
        <w:rPr>
          <w:rFonts w:eastAsia="Calibri"/>
        </w:rPr>
        <w:t xml:space="preserve"> 2011; </w:t>
      </w:r>
      <w:proofErr w:type="spellStart"/>
      <w:r w:rsidRPr="00B25A22">
        <w:rPr>
          <w:rFonts w:eastAsia="Calibri"/>
        </w:rPr>
        <w:t>Meyer</w:t>
      </w:r>
      <w:proofErr w:type="spellEnd"/>
      <w:r w:rsidRPr="00B25A22">
        <w:rPr>
          <w:rFonts w:eastAsia="Calibri"/>
        </w:rPr>
        <w:t xml:space="preserve"> et al. 2012, aj.) potvrzují, že řada faktorů (např. růst vzdálenosti mezi místem výroby a spotřeby, mizející kontakt mezi výrobcem a spotřebitelem, složitost výrobních technologií aj.) evokují </w:t>
      </w:r>
      <w:r w:rsidRPr="00B25A22">
        <w:rPr>
          <w:rFonts w:eastAsia="Calibri"/>
          <w:b/>
          <w:caps/>
        </w:rPr>
        <w:t>rostoucí zájem spotřebitelů o složení potravin, výrobní postupy, původ potravin a záruky kvality.</w:t>
      </w:r>
      <w:r w:rsidRPr="00B25A22">
        <w:rPr>
          <w:rFonts w:eastAsia="Calibri"/>
        </w:rPr>
        <w:t xml:space="preserve"> Rovněž v ČR existuje segment spotřebitelů, který o tyto charakteristiky projevuje zájem. </w:t>
      </w:r>
      <w:r w:rsidRPr="00B25A22">
        <w:rPr>
          <w:rFonts w:eastAsia="Calibri"/>
          <w:b/>
        </w:rPr>
        <w:t>V rámci ČR však není podchyceno, jak velký tento segment je, zda má progresi, případně jak velkou.</w:t>
      </w:r>
      <w:r w:rsidRPr="00B25A22">
        <w:rPr>
          <w:rFonts w:eastAsia="Calibri"/>
        </w:rPr>
        <w:t xml:space="preserve"> </w:t>
      </w:r>
    </w:p>
    <w:p w14:paraId="71431613" w14:textId="77777777" w:rsidR="00AA3A5F" w:rsidRPr="00B25A22" w:rsidRDefault="00AA3A5F" w:rsidP="00C30173">
      <w:pPr>
        <w:pStyle w:val="UZEINormaln"/>
        <w:rPr>
          <w:rFonts w:eastAsia="Calibri"/>
        </w:rPr>
      </w:pPr>
      <w:r w:rsidRPr="00B25A22">
        <w:rPr>
          <w:rFonts w:eastAsia="Calibri"/>
        </w:rPr>
        <w:t>Výzkum ÚZEI (Bošková a kol., 2017</w:t>
      </w:r>
      <w:r w:rsidRPr="00B25A22">
        <w:rPr>
          <w:rStyle w:val="Znakapoznpodarou"/>
          <w:rFonts w:eastAsia="Calibri"/>
        </w:rPr>
        <w:footnoteReference w:id="16"/>
      </w:r>
      <w:r w:rsidRPr="00B25A22">
        <w:rPr>
          <w:rFonts w:eastAsia="Calibri"/>
        </w:rPr>
        <w:t xml:space="preserve">) ukázal mimo jiné, že </w:t>
      </w:r>
      <w:r w:rsidRPr="00B25A22">
        <w:rPr>
          <w:rFonts w:eastAsia="Calibri"/>
          <w:b/>
        </w:rPr>
        <w:t>spotřebitelé deklarují</w:t>
      </w:r>
      <w:r w:rsidRPr="00B25A22">
        <w:rPr>
          <w:rFonts w:eastAsia="Calibri"/>
        </w:rPr>
        <w:t xml:space="preserve"> následující postoje: </w:t>
      </w:r>
    </w:p>
    <w:p w14:paraId="35B2DC80" w14:textId="77777777" w:rsidR="00AA3A5F" w:rsidRPr="00B25A22" w:rsidRDefault="00AA3A5F" w:rsidP="00C30173">
      <w:pPr>
        <w:pStyle w:val="UZEIOdrky"/>
      </w:pPr>
      <w:r w:rsidRPr="00B25A22">
        <w:t>více než polovina dotázaných spotřebitelů tvrdí, že má zájem o potraviny s nadstandardní kvalitou převyšující zákonem stanovené normy,</w:t>
      </w:r>
    </w:p>
    <w:p w14:paraId="29C1EF3F" w14:textId="77777777" w:rsidR="00AA3A5F" w:rsidRPr="00B25A22" w:rsidRDefault="00AA3A5F" w:rsidP="00C30173">
      <w:pPr>
        <w:pStyle w:val="UZEIOdrky"/>
      </w:pPr>
      <w:r w:rsidRPr="00B25A22">
        <w:t xml:space="preserve">téměř polovina dotázaných tvrdí, že se zajímá, za jakých podmínek pro zvířata byly potraviny vyrobeny, </w:t>
      </w:r>
    </w:p>
    <w:p w14:paraId="10040813" w14:textId="77777777" w:rsidR="00AA3A5F" w:rsidRPr="00B25A22" w:rsidRDefault="00AA3A5F" w:rsidP="00C30173">
      <w:pPr>
        <w:pStyle w:val="UZEIOdrky"/>
      </w:pPr>
      <w:r w:rsidRPr="00B25A22">
        <w:t>tři čtvrtiny dotázaných tvrdí, že sledují zemi původu</w:t>
      </w:r>
    </w:p>
    <w:p w14:paraId="05B67F9F" w14:textId="77777777" w:rsidR="00AA3A5F" w:rsidRPr="00B25A22" w:rsidRDefault="00AA3A5F" w:rsidP="00C30173">
      <w:pPr>
        <w:pStyle w:val="UZEIOdrky"/>
      </w:pPr>
      <w:r w:rsidRPr="00B25A22">
        <w:t xml:space="preserve">více než tři čtvrtiny respondentů tvrdí, že by daly přednost českému máslu před německým, francouzským a polským. </w:t>
      </w:r>
    </w:p>
    <w:p w14:paraId="454AAB83" w14:textId="77777777" w:rsidR="00AA3A5F" w:rsidRPr="00B25A22" w:rsidRDefault="00AA3A5F" w:rsidP="00C30173">
      <w:pPr>
        <w:pStyle w:val="UZEINormaln"/>
      </w:pPr>
      <w:r w:rsidRPr="00B25A22">
        <w:rPr>
          <w:rFonts w:eastAsia="Calibri"/>
        </w:rPr>
        <w:t xml:space="preserve">Další výzkum u spotřebitelů provedl kolektiv pracovníků ÚZEI v rámci TU 66/2019. </w:t>
      </w:r>
      <w:bookmarkStart w:id="41" w:name="_Hlk25999116"/>
      <w:r w:rsidRPr="00B25A22">
        <w:t>Sběr dat proběhl formou dotazníkového šetření, konkrétně metodou CAWI, tj. prostřednictvím online dotazování v říjnu 2019. Průzkum byl proveden na reprezentativním vzorku spotřebitelů pro ČR Respondenty byli hlavní či vedlejší nákupčí domácností, kteří byli vybráni na základě kvótního výběru, tak aby reprezentovali sociodemografickou strukturu obyvatel ČR 18+.</w:t>
      </w:r>
      <w:bookmarkEnd w:id="41"/>
    </w:p>
    <w:p w14:paraId="5CA295A2" w14:textId="151FAA8C" w:rsidR="00AA3A5F" w:rsidRPr="00B25A22" w:rsidRDefault="00AA3A5F" w:rsidP="00C30173">
      <w:pPr>
        <w:pStyle w:val="UZEINormaln"/>
        <w:rPr>
          <w:rFonts w:eastAsia="Calibri"/>
        </w:rPr>
      </w:pPr>
      <w:r w:rsidRPr="00B25A22">
        <w:rPr>
          <w:rFonts w:eastAsia="Calibri"/>
        </w:rPr>
        <w:t xml:space="preserve">Na otázku „Do jaké míry při výběru potravin zohledňujete jejich vliv na lidské zdraví?”  pouze 14 % respondentů prohlásilo, že zdraví při koupi potravin nezohledňují nebo </w:t>
      </w:r>
      <w:r w:rsidR="004F1CE2" w:rsidRPr="00B25A22">
        <w:rPr>
          <w:rFonts w:eastAsia="Calibri"/>
        </w:rPr>
        <w:t>zohled</w:t>
      </w:r>
      <w:r w:rsidR="004F1CE2">
        <w:rPr>
          <w:rFonts w:eastAsia="Calibri"/>
        </w:rPr>
        <w:t>ň</w:t>
      </w:r>
      <w:r w:rsidR="004F1CE2" w:rsidRPr="00B25A22">
        <w:rPr>
          <w:rFonts w:eastAsia="Calibri"/>
        </w:rPr>
        <w:t xml:space="preserve">ují </w:t>
      </w:r>
      <w:r w:rsidRPr="00B25A22">
        <w:rPr>
          <w:rFonts w:eastAsia="Calibri"/>
        </w:rPr>
        <w:t xml:space="preserve">jen občas. Naopak 55 % respondentů uvedlo, že kupují výhradně zdravé potraviny a dalších 31 % prohlásilo, že většina jimi zakoupených potravin je zdraví prospěšných.  Většina respondentů navíc prohlásila ochotu si připlatit za atributy spojené se zdravím (graf 3). Z nabídnutých atributů měly největší odezvu potraviny, u nichž byly sníženy chemické postřiky v zemědělství </w:t>
      </w:r>
      <w:r w:rsidRPr="00B25A22">
        <w:rPr>
          <w:rFonts w:eastAsia="Calibri"/>
        </w:rPr>
        <w:lastRenderedPageBreak/>
        <w:t xml:space="preserve">a u nichž byly použity šetrné přístupy k chovu zvířat, ale spotřebitelé deklarovali vysoký zájem rovněž o další atributy.  </w:t>
      </w:r>
    </w:p>
    <w:p w14:paraId="645347E8" w14:textId="688E714C" w:rsidR="00AA3A5F" w:rsidRPr="00B25A22" w:rsidRDefault="00AA3A5F" w:rsidP="00C30173">
      <w:pPr>
        <w:pStyle w:val="UZEIGraf"/>
        <w:rPr>
          <w:rFonts w:eastAsia="Calibri"/>
        </w:rPr>
      </w:pPr>
      <w:bookmarkStart w:id="42" w:name="_Toc81743476"/>
      <w:bookmarkStart w:id="43" w:name="_Toc81743517"/>
      <w:r w:rsidRPr="00B25A22">
        <w:rPr>
          <w:rFonts w:eastAsia="Calibri"/>
        </w:rPr>
        <w:t>Deklarovaná ochota spotřebitelů připlatit si za potraviny s vybranými charakteristikami</w:t>
      </w:r>
      <w:bookmarkEnd w:id="42"/>
      <w:bookmarkEnd w:id="43"/>
    </w:p>
    <w:p w14:paraId="69FA8A3D" w14:textId="77777777" w:rsidR="00AA3A5F" w:rsidRPr="00B25A22" w:rsidRDefault="00AA3A5F" w:rsidP="00354B26">
      <w:pPr>
        <w:ind w:left="360" w:hanging="360"/>
        <w:jc w:val="center"/>
        <w:rPr>
          <w:rFonts w:eastAsia="Calibri" w:cs="Times New Roman"/>
          <w:sz w:val="22"/>
          <w:lang w:val="cs-CZ"/>
        </w:rPr>
      </w:pPr>
      <w:r w:rsidRPr="00B25A22">
        <w:rPr>
          <w:rFonts w:cs="Times New Roman"/>
          <w:noProof/>
          <w:lang w:val="cs-CZ" w:eastAsia="cs-CZ"/>
        </w:rPr>
        <w:drawing>
          <wp:inline distT="0" distB="0" distL="0" distR="0" wp14:anchorId="043A217B" wp14:editId="45231AD0">
            <wp:extent cx="5781675" cy="3219450"/>
            <wp:effectExtent l="0" t="0" r="9525" b="0"/>
            <wp:docPr id="12" name="Graf 12">
              <a:extLst xmlns:a="http://schemas.openxmlformats.org/drawingml/2006/main">
                <a:ext uri="{FF2B5EF4-FFF2-40B4-BE49-F238E27FC236}">
                  <a16:creationId xmlns:a16="http://schemas.microsoft.com/office/drawing/2014/main" id="{EA2AA575-7F8A-46B5-B7A8-13D3874284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B9622C5" w14:textId="77777777" w:rsidR="00AA3A5F" w:rsidRPr="00B25A22" w:rsidRDefault="00AA3A5F" w:rsidP="00354B26">
      <w:pPr>
        <w:pStyle w:val="UZEIZdroj"/>
      </w:pPr>
      <w:r w:rsidRPr="00B25A22">
        <w:t>Pramen: ÚZEI, TU 66/2019</w:t>
      </w:r>
    </w:p>
    <w:p w14:paraId="5480FAD4" w14:textId="77777777" w:rsidR="00AA3A5F" w:rsidRPr="00B25A22" w:rsidRDefault="00AA3A5F" w:rsidP="00354B26">
      <w:pPr>
        <w:pStyle w:val="UZEINormaln"/>
        <w:rPr>
          <w:rFonts w:eastAsia="Calibri"/>
        </w:rPr>
      </w:pPr>
      <w:r w:rsidRPr="00B25A22">
        <w:rPr>
          <w:rFonts w:eastAsia="Calibri"/>
        </w:rPr>
        <w:t xml:space="preserve">Na základě deklarací respondentů lze tedy odvozovat, že spotřebitelé se zajímají o potraviny vyrobené se zvýšeným zřetelem na lidské zdraví a významná část spotřebitelů prohlašuje, že je ochotna si za takovou kvalitu připlatit. Nabídka potravin s uvedenými aspekty je příležitostí nejen pro zemědělské výrobce, ale pro celou potravinovou vertikálu. </w:t>
      </w:r>
    </w:p>
    <w:p w14:paraId="7323731A" w14:textId="77777777" w:rsidR="00AA3A5F" w:rsidRPr="00B25A22" w:rsidRDefault="00AA3A5F" w:rsidP="00354B26">
      <w:pPr>
        <w:pStyle w:val="UZEINormaln"/>
        <w:rPr>
          <w:rFonts w:eastAsia="Calibri"/>
        </w:rPr>
      </w:pPr>
      <w:r w:rsidRPr="00B25A22">
        <w:rPr>
          <w:rFonts w:eastAsia="Calibri"/>
        </w:rPr>
        <w:t xml:space="preserve"> Spotřebitelé ovšem musí dostat takové informace, které by jim umožnily provést „informovaný výběr potravin“, posílily důvěru v kvalitu surovin a jejich zpracování a tím by se omezila tržní selhání vlivem informační asymetrie. </w:t>
      </w:r>
      <w:bookmarkStart w:id="44" w:name="_Hlk5867314"/>
      <w:r w:rsidRPr="00B25A22">
        <w:rPr>
          <w:rFonts w:eastAsia="Calibri"/>
        </w:rPr>
        <w:t>Z výzkumu ÚZEI (TU 66/2019 vyplynulo, že zatímco několik málo vybraných značek kvality znají spotřebitelé velmi dobře (např. Klasa, Regionální potravina), několik značek, které přímo zaručují postupy šetrné k lidskému zdraví i k životnímu prostředí, spotřebitelé téměř neznají (graf 4). Například u integrované produkce ovoce a zeleniny, nejenže spotřebitelé neznali logo, ale neznali ani význam pojmu. Dvě třetiny spotřebitelů se domnívají, že integrovaná produkce ovoce nebo zeleniny má nepříznivý vliv na lidské zdraví nebo neví, jaký vliv na lidské zdraví má.</w:t>
      </w:r>
    </w:p>
    <w:p w14:paraId="32038F5A" w14:textId="77777777" w:rsidR="00AA3A5F" w:rsidRPr="00B25A22" w:rsidRDefault="00AA3A5F" w:rsidP="00AA3A5F">
      <w:pPr>
        <w:spacing w:after="120"/>
        <w:rPr>
          <w:rFonts w:eastAsia="Calibri" w:cs="Times New Roman"/>
          <w:sz w:val="22"/>
          <w:lang w:val="cs-CZ"/>
        </w:rPr>
      </w:pPr>
    </w:p>
    <w:p w14:paraId="4D9F408B" w14:textId="77777777" w:rsidR="00AA3A5F" w:rsidRPr="00B25A22" w:rsidRDefault="00AA3A5F" w:rsidP="00AA3A5F">
      <w:pPr>
        <w:spacing w:after="120"/>
        <w:rPr>
          <w:rFonts w:eastAsia="Calibri" w:cs="Times New Roman"/>
          <w:sz w:val="22"/>
          <w:lang w:val="cs-CZ"/>
        </w:rPr>
      </w:pPr>
    </w:p>
    <w:p w14:paraId="717BEDF5" w14:textId="77777777" w:rsidR="00AA3A5F" w:rsidRPr="00B25A22" w:rsidRDefault="00AA3A5F" w:rsidP="00AA3A5F">
      <w:pPr>
        <w:spacing w:after="120"/>
        <w:rPr>
          <w:rFonts w:eastAsia="Calibri" w:cs="Times New Roman"/>
          <w:sz w:val="22"/>
          <w:lang w:val="cs-CZ"/>
        </w:rPr>
      </w:pPr>
    </w:p>
    <w:p w14:paraId="3A64CB90" w14:textId="77777777" w:rsidR="00AA3A5F" w:rsidRPr="00B25A22" w:rsidRDefault="00AA3A5F" w:rsidP="00AA3A5F">
      <w:pPr>
        <w:spacing w:after="120"/>
        <w:rPr>
          <w:rFonts w:eastAsia="Calibri" w:cs="Times New Roman"/>
          <w:sz w:val="22"/>
          <w:lang w:val="cs-CZ"/>
        </w:rPr>
      </w:pPr>
    </w:p>
    <w:p w14:paraId="47E21B05" w14:textId="679DBAF9" w:rsidR="00AA3A5F" w:rsidRDefault="00AA3A5F" w:rsidP="00AA3A5F">
      <w:pPr>
        <w:spacing w:after="120"/>
        <w:rPr>
          <w:rFonts w:eastAsia="Calibri" w:cs="Times New Roman"/>
          <w:sz w:val="22"/>
          <w:lang w:val="cs-CZ"/>
        </w:rPr>
      </w:pPr>
    </w:p>
    <w:p w14:paraId="291AD0AE" w14:textId="04C45E1C" w:rsidR="00354B26" w:rsidRDefault="00354B26" w:rsidP="00AA3A5F">
      <w:pPr>
        <w:spacing w:after="120"/>
        <w:rPr>
          <w:rFonts w:eastAsia="Calibri" w:cs="Times New Roman"/>
          <w:sz w:val="22"/>
          <w:lang w:val="cs-CZ"/>
        </w:rPr>
      </w:pPr>
    </w:p>
    <w:p w14:paraId="7C5B02CD" w14:textId="4A87803D" w:rsidR="00354B26" w:rsidRDefault="00354B26" w:rsidP="00AA3A5F">
      <w:pPr>
        <w:spacing w:after="120"/>
        <w:rPr>
          <w:rFonts w:eastAsia="Calibri" w:cs="Times New Roman"/>
          <w:sz w:val="22"/>
          <w:lang w:val="cs-CZ"/>
        </w:rPr>
      </w:pPr>
    </w:p>
    <w:p w14:paraId="4B4F711C" w14:textId="41B32DEB" w:rsidR="00354B26" w:rsidRDefault="00354B26" w:rsidP="00AA3A5F">
      <w:pPr>
        <w:spacing w:after="120"/>
        <w:rPr>
          <w:rFonts w:eastAsia="Calibri" w:cs="Times New Roman"/>
          <w:sz w:val="22"/>
          <w:lang w:val="cs-CZ"/>
        </w:rPr>
      </w:pPr>
    </w:p>
    <w:p w14:paraId="11F555AF" w14:textId="0BE4CEBA" w:rsidR="00354B26" w:rsidRDefault="00354B26" w:rsidP="00AA3A5F">
      <w:pPr>
        <w:spacing w:after="120"/>
        <w:rPr>
          <w:rFonts w:eastAsia="Calibri" w:cs="Times New Roman"/>
          <w:sz w:val="22"/>
          <w:lang w:val="cs-CZ"/>
        </w:rPr>
      </w:pPr>
    </w:p>
    <w:p w14:paraId="63DB793B" w14:textId="77777777" w:rsidR="00354B26" w:rsidRPr="00B25A22" w:rsidRDefault="00354B26" w:rsidP="00AA3A5F">
      <w:pPr>
        <w:spacing w:after="120"/>
        <w:rPr>
          <w:rFonts w:eastAsia="Calibri" w:cs="Times New Roman"/>
          <w:sz w:val="22"/>
          <w:lang w:val="cs-CZ"/>
        </w:rPr>
      </w:pPr>
    </w:p>
    <w:p w14:paraId="48336223" w14:textId="77777777" w:rsidR="00AA3A5F" w:rsidRPr="00B25A22" w:rsidRDefault="00AA3A5F" w:rsidP="00AA3A5F">
      <w:pPr>
        <w:spacing w:after="120"/>
        <w:rPr>
          <w:rFonts w:eastAsia="Calibri" w:cs="Times New Roman"/>
          <w:sz w:val="22"/>
          <w:lang w:val="cs-CZ"/>
        </w:rPr>
      </w:pPr>
    </w:p>
    <w:p w14:paraId="7648B1F4" w14:textId="134F6336" w:rsidR="00AA3A5F" w:rsidRPr="00B25A22" w:rsidRDefault="00AA3A5F" w:rsidP="00354B26">
      <w:pPr>
        <w:pStyle w:val="UZEIGraf"/>
      </w:pPr>
      <w:bookmarkStart w:id="45" w:name="_Toc81743477"/>
      <w:bookmarkStart w:id="46" w:name="_Toc81743518"/>
      <w:r w:rsidRPr="00B25A22">
        <w:t>Znalost spotřebitelů vybraných piktogramů režimu kvality</w:t>
      </w:r>
      <w:bookmarkEnd w:id="45"/>
      <w:bookmarkEnd w:id="46"/>
      <w:r w:rsidRPr="00B25A22">
        <w:t xml:space="preserve"> </w:t>
      </w:r>
    </w:p>
    <w:p w14:paraId="5DDFC44A" w14:textId="77777777" w:rsidR="00AA3A5F" w:rsidRPr="00B25A22" w:rsidRDefault="00AA3A5F" w:rsidP="00AA3A5F">
      <w:pPr>
        <w:spacing w:after="120"/>
        <w:rPr>
          <w:rFonts w:cs="Times New Roman"/>
          <w:sz w:val="22"/>
          <w:lang w:val="cs-CZ"/>
        </w:rPr>
      </w:pPr>
      <w:r w:rsidRPr="00B25A22">
        <w:rPr>
          <w:rFonts w:cs="Times New Roman"/>
          <w:noProof/>
          <w:lang w:val="cs-CZ" w:eastAsia="cs-CZ"/>
        </w:rPr>
        <w:drawing>
          <wp:inline distT="0" distB="0" distL="0" distR="0" wp14:anchorId="6EC88111" wp14:editId="1D0C4B69">
            <wp:extent cx="5760720" cy="3013075"/>
            <wp:effectExtent l="0" t="0" r="11430" b="15875"/>
            <wp:docPr id="13" name="Graf 13">
              <a:extLst xmlns:a="http://schemas.openxmlformats.org/drawingml/2006/main">
                <a:ext uri="{FF2B5EF4-FFF2-40B4-BE49-F238E27FC236}">
                  <a16:creationId xmlns:a16="http://schemas.microsoft.com/office/drawing/2014/main" id="{4E022834-C883-494C-98B4-054E26D757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C7A4563" w14:textId="77777777" w:rsidR="00AA3A5F" w:rsidRPr="00B25A22" w:rsidRDefault="00AA3A5F" w:rsidP="00354B26">
      <w:pPr>
        <w:pStyle w:val="UZEIZdroj"/>
      </w:pPr>
      <w:r w:rsidRPr="00B25A22">
        <w:t>Pramen: ÚZEI, TU 66/2019</w:t>
      </w:r>
    </w:p>
    <w:p w14:paraId="29C4E67F" w14:textId="77777777" w:rsidR="00AA3A5F" w:rsidRPr="00B25A22" w:rsidRDefault="00AA3A5F" w:rsidP="00354B26">
      <w:pPr>
        <w:pStyle w:val="UZEINormaln"/>
        <w:rPr>
          <w:rFonts w:eastAsia="Calibri"/>
        </w:rPr>
      </w:pPr>
      <w:r w:rsidRPr="00B25A22">
        <w:t>Je tedy nezbytné výšit úroveň znalostí spotřebitelů (ale i výrobců) především o existujících režimech jakosti potravinářských výrobků, tzn. objasnit jim, co používané značky kvality představují a v čem spočívá jejich přínos. Proto je třeba podpořit marketing v této oblasti. Nástroji propagace značky kvality potravinářských produktů mohou být např. internet, sociální sítě, média, odborné přednášky v nákupních centrech spojené s poradenskou činností, informační letáky v prodejnách. Pokud bude dostatečná informovanost spotřebitelů (a kupní síla), lze očekávat i růst poptávky po kvalitních potravinářských výrobcích.</w:t>
      </w:r>
      <w:bookmarkEnd w:id="44"/>
    </w:p>
    <w:p w14:paraId="01CB4F9C" w14:textId="77777777" w:rsidR="00AA3A5F" w:rsidRPr="00B25A22" w:rsidRDefault="00AA3A5F" w:rsidP="00B56B8B">
      <w:pPr>
        <w:pStyle w:val="UZEINormaln"/>
      </w:pPr>
      <w:r w:rsidRPr="00354B26">
        <w:rPr>
          <w:rStyle w:val="UZEINormalnChar"/>
        </w:rPr>
        <w:t xml:space="preserve">Současně je nutné rozvíjet systémové režimy kvality. V ČR jsou systémové a na převážně soukromých iniciativách založené programy kvality vedené od prvovýrobce po maloobchod, které by podpořily specifické kvalitativní charakteristiky produktu a spotřebitele na tyto kvality upozornily, ojedinělé. Naopak v sousedních zemích takové systémy fungují. Např. rakouský systém kvality AMA </w:t>
      </w:r>
      <w:proofErr w:type="spellStart"/>
      <w:r w:rsidRPr="00354B26">
        <w:rPr>
          <w:rStyle w:val="UZEINormalnChar"/>
        </w:rPr>
        <w:t>Gütesiegel</w:t>
      </w:r>
      <w:proofErr w:type="spellEnd"/>
      <w:r w:rsidRPr="00354B26">
        <w:rPr>
          <w:rStyle w:val="UZEINormalnChar"/>
        </w:rPr>
        <w:t xml:space="preserve"> (Pečeť kvality AMA)</w:t>
      </w:r>
      <w:r w:rsidRPr="00354B26">
        <w:rPr>
          <w:rStyle w:val="UZEINormalnChar"/>
        </w:rPr>
        <w:footnoteReference w:id="17"/>
      </w:r>
      <w:r w:rsidRPr="00354B26">
        <w:rPr>
          <w:rStyle w:val="UZEINormalnChar"/>
        </w:rPr>
        <w:t xml:space="preserve"> nebo německý systém kvality QS. </w:t>
      </w:r>
      <w:proofErr w:type="spellStart"/>
      <w:r w:rsidRPr="00354B26">
        <w:rPr>
          <w:rStyle w:val="UZEINormalnChar"/>
        </w:rPr>
        <w:t>Ihr</w:t>
      </w:r>
      <w:proofErr w:type="spellEnd"/>
      <w:r w:rsidRPr="00354B26">
        <w:rPr>
          <w:rStyle w:val="UZEINormalnChar"/>
        </w:rPr>
        <w:t xml:space="preserve"> </w:t>
      </w:r>
      <w:proofErr w:type="spellStart"/>
      <w:r w:rsidRPr="00354B26">
        <w:rPr>
          <w:rStyle w:val="UZEINormalnChar"/>
        </w:rPr>
        <w:t>Prüfsystem</w:t>
      </w:r>
      <w:proofErr w:type="spellEnd"/>
      <w:r w:rsidRPr="00354B26">
        <w:rPr>
          <w:rStyle w:val="UZEINormalnChar"/>
        </w:rPr>
        <w:t xml:space="preserve"> </w:t>
      </w:r>
      <w:proofErr w:type="spellStart"/>
      <w:r w:rsidRPr="00354B26">
        <w:rPr>
          <w:rStyle w:val="UZEINormalnChar"/>
        </w:rPr>
        <w:t>für</w:t>
      </w:r>
      <w:proofErr w:type="spellEnd"/>
      <w:r w:rsidRPr="00354B26">
        <w:rPr>
          <w:rStyle w:val="UZEINormalnChar"/>
        </w:rPr>
        <w:t xml:space="preserve"> </w:t>
      </w:r>
      <w:proofErr w:type="spellStart"/>
      <w:r w:rsidRPr="00354B26">
        <w:rPr>
          <w:rStyle w:val="UZEINormalnChar"/>
        </w:rPr>
        <w:t>Lebensmittel</w:t>
      </w:r>
      <w:proofErr w:type="spellEnd"/>
      <w:r w:rsidRPr="00354B26">
        <w:rPr>
          <w:rStyle w:val="UZEINormalnChar"/>
        </w:rPr>
        <w:t xml:space="preserve"> (QS. Systém kvality potravin.)</w:t>
      </w:r>
      <w:r w:rsidRPr="00354B26">
        <w:rPr>
          <w:rStyle w:val="UZEINormalnChar"/>
        </w:rPr>
        <w:footnoteReference w:id="18"/>
      </w:r>
      <w:r w:rsidRPr="00354B26">
        <w:rPr>
          <w:rStyle w:val="UZEINormalnChar"/>
        </w:rPr>
        <w:t xml:space="preserve"> je založen na</w:t>
      </w:r>
      <w:r w:rsidRPr="00B25A22">
        <w:t xml:space="preserve"> dodržování </w:t>
      </w:r>
      <w:r w:rsidRPr="00B25A22">
        <w:lastRenderedPageBreak/>
        <w:t xml:space="preserve">předepsaných postupů, které začínají na zemědělské úrovni a přes zpracování a dopravu končí v maloobchodu. Postupy a normy jsou transparentní a dostupné spotřebitelům, a jejich dodržování je ověřováno několikastupňovou kontrolou. </w:t>
      </w:r>
    </w:p>
    <w:p w14:paraId="6FB9D35C" w14:textId="08C70EB5" w:rsidR="00AA3A5F" w:rsidRDefault="00AA3A5F" w:rsidP="00B56B8B">
      <w:pPr>
        <w:pStyle w:val="UZEINormaln"/>
      </w:pPr>
      <w:r w:rsidRPr="00B25A22">
        <w:t>V ČR se podařilo dostat do povědomí spotřebitelů několik málo značek kvality (</w:t>
      </w:r>
      <w:r w:rsidRPr="00B25A22">
        <w:rPr>
          <w:b/>
        </w:rPr>
        <w:t>Klasa, Regionální potravina (RP), Bio potravina</w:t>
      </w:r>
      <w:r w:rsidRPr="00B25A22">
        <w:t>). Klasa ani Regionální potravina však nejsou plnohodnotným řešením.</w:t>
      </w:r>
    </w:p>
    <w:p w14:paraId="29E5FBB7" w14:textId="67D303A7" w:rsidR="00B56B8B" w:rsidRPr="00B56B8B" w:rsidRDefault="00B56B8B" w:rsidP="00B56B8B">
      <w:pPr>
        <w:spacing w:after="160" w:line="259" w:lineRule="auto"/>
        <w:jc w:val="left"/>
        <w:rPr>
          <w:rFonts w:eastAsia="Times New Roman" w:cstheme="minorHAnsi"/>
          <w:szCs w:val="24"/>
          <w:lang w:val="cs-CZ" w:eastAsia="cs-CZ"/>
        </w:rPr>
      </w:pPr>
      <w:r>
        <w:br w:type="page"/>
      </w:r>
    </w:p>
    <w:p w14:paraId="46EE5966" w14:textId="77777777" w:rsidR="00AA3A5F" w:rsidRPr="00B56B8B" w:rsidRDefault="00AA3A5F" w:rsidP="00B56B8B">
      <w:pPr>
        <w:pStyle w:val="Nadpis1"/>
      </w:pPr>
      <w:bookmarkStart w:id="47" w:name="_Toc12598428"/>
      <w:bookmarkStart w:id="48" w:name="_Toc80969603"/>
      <w:bookmarkStart w:id="49" w:name="_Toc81743384"/>
      <w:bookmarkStart w:id="50" w:name="_Toc81743831"/>
      <w:r w:rsidRPr="00B56B8B">
        <w:lastRenderedPageBreak/>
        <w:t>Mechanismus a příčiny problému</w:t>
      </w:r>
      <w:bookmarkEnd w:id="47"/>
      <w:bookmarkEnd w:id="48"/>
      <w:bookmarkEnd w:id="49"/>
      <w:bookmarkEnd w:id="50"/>
      <w:r w:rsidRPr="00B56B8B">
        <w:t xml:space="preserve"> </w:t>
      </w:r>
    </w:p>
    <w:p w14:paraId="40E87AE4" w14:textId="77777777" w:rsidR="00AA3A5F" w:rsidRPr="004A3BE1" w:rsidRDefault="00AA3A5F" w:rsidP="00BA3563">
      <w:pPr>
        <w:pStyle w:val="UZEINormaln"/>
        <w:numPr>
          <w:ilvl w:val="0"/>
          <w:numId w:val="36"/>
        </w:numPr>
        <w:rPr>
          <w:b/>
          <w:bCs/>
        </w:rPr>
      </w:pPr>
      <w:r w:rsidRPr="004A3BE1">
        <w:rPr>
          <w:b/>
          <w:bCs/>
        </w:rPr>
        <w:t>Dominantní vliv obchodních řetězců na úrovni maloobchodního odběratele.</w:t>
      </w:r>
    </w:p>
    <w:p w14:paraId="31BF58B1" w14:textId="77777777" w:rsidR="00AA3A5F" w:rsidRPr="00B25A22" w:rsidRDefault="00AA3A5F" w:rsidP="00BA3563">
      <w:pPr>
        <w:pStyle w:val="UZEIOdrky"/>
        <w:numPr>
          <w:ilvl w:val="1"/>
          <w:numId w:val="37"/>
        </w:numPr>
      </w:pPr>
      <w:r w:rsidRPr="00B25A22">
        <w:t>Liberální prostředí devadesátých let umožnilo rychlý vstup maloobchodních řetězců na domácí trh bez omezujících podmínek.</w:t>
      </w:r>
    </w:p>
    <w:p w14:paraId="14BA4C4E" w14:textId="77777777" w:rsidR="00AA3A5F" w:rsidRPr="00B25A22" w:rsidRDefault="00AA3A5F" w:rsidP="00BA3563">
      <w:pPr>
        <w:pStyle w:val="UZEIOdrky"/>
        <w:numPr>
          <w:ilvl w:val="1"/>
          <w:numId w:val="37"/>
        </w:numPr>
      </w:pPr>
      <w:r w:rsidRPr="00B25A22">
        <w:t xml:space="preserve">Ekonomické prostředí vedlo k ústupu tradičních malo-formátových prodejen. </w:t>
      </w:r>
    </w:p>
    <w:p w14:paraId="4A0E032F" w14:textId="77777777" w:rsidR="00AA3A5F" w:rsidRPr="00B25A22" w:rsidRDefault="00AA3A5F" w:rsidP="00BA3563">
      <w:pPr>
        <w:pStyle w:val="UZEIOdrky"/>
        <w:numPr>
          <w:ilvl w:val="1"/>
          <w:numId w:val="37"/>
        </w:numPr>
      </w:pPr>
      <w:r w:rsidRPr="00B25A22">
        <w:t>Na trhu potravin je nedokonalá konkurence a dochází k nerovnováze pod vlivem využití oligopolní nebo monopolní moci.</w:t>
      </w:r>
    </w:p>
    <w:p w14:paraId="169CFA6B" w14:textId="77777777" w:rsidR="00AA3A5F" w:rsidRPr="00B25A22" w:rsidRDefault="00AA3A5F" w:rsidP="00BA3563">
      <w:pPr>
        <w:pStyle w:val="UZEIOdrky"/>
        <w:numPr>
          <w:ilvl w:val="1"/>
          <w:numId w:val="37"/>
        </w:numPr>
      </w:pPr>
      <w:r w:rsidRPr="00B25A22">
        <w:t xml:space="preserve">Nedostatečná legislativní úprava umožňuje zneužívání tržní síly. </w:t>
      </w:r>
    </w:p>
    <w:p w14:paraId="1F3F9445" w14:textId="77777777" w:rsidR="00AA3A5F" w:rsidRPr="00B25A22" w:rsidRDefault="00AA3A5F" w:rsidP="00BA3563">
      <w:pPr>
        <w:pStyle w:val="UZEIOdrky"/>
        <w:numPr>
          <w:ilvl w:val="1"/>
          <w:numId w:val="37"/>
        </w:numPr>
      </w:pPr>
      <w:r w:rsidRPr="00B25A22">
        <w:t>Nákupní zvyklosti spotřebitelů.</w:t>
      </w:r>
    </w:p>
    <w:p w14:paraId="6527D3C9" w14:textId="77777777" w:rsidR="00AA3A5F" w:rsidRPr="00BA3563" w:rsidRDefault="00AA3A5F" w:rsidP="00BA3563">
      <w:pPr>
        <w:pStyle w:val="UZEINormaln"/>
        <w:numPr>
          <w:ilvl w:val="0"/>
          <w:numId w:val="36"/>
        </w:numPr>
        <w:rPr>
          <w:b/>
          <w:bCs/>
        </w:rPr>
      </w:pPr>
      <w:r w:rsidRPr="00BA3563">
        <w:rPr>
          <w:b/>
          <w:bCs/>
        </w:rPr>
        <w:t>Nízká míra sdružování výrobců při odbytu.</w:t>
      </w:r>
    </w:p>
    <w:p w14:paraId="43F4B31D" w14:textId="77777777" w:rsidR="00AA3A5F" w:rsidRPr="00BA3563" w:rsidRDefault="00AA3A5F" w:rsidP="00BA3563">
      <w:pPr>
        <w:pStyle w:val="UZEIOdrky"/>
        <w:numPr>
          <w:ilvl w:val="1"/>
          <w:numId w:val="37"/>
        </w:numPr>
      </w:pPr>
      <w:r w:rsidRPr="00BA3563">
        <w:t>Absence vůdců.</w:t>
      </w:r>
    </w:p>
    <w:p w14:paraId="1D884B5C" w14:textId="77777777" w:rsidR="00AA3A5F" w:rsidRPr="00BA3563" w:rsidRDefault="00AA3A5F" w:rsidP="00BA3563">
      <w:pPr>
        <w:pStyle w:val="UZEIOdrky"/>
        <w:numPr>
          <w:ilvl w:val="1"/>
          <w:numId w:val="37"/>
        </w:numPr>
      </w:pPr>
      <w:r w:rsidRPr="00BA3563">
        <w:t xml:space="preserve">Absence předem nastavených interních pravidel organizací. </w:t>
      </w:r>
    </w:p>
    <w:p w14:paraId="10BFCA83" w14:textId="77777777" w:rsidR="00AA3A5F" w:rsidRPr="00BA3563" w:rsidRDefault="00AA3A5F" w:rsidP="00BA3563">
      <w:pPr>
        <w:pStyle w:val="UZEIOdrky"/>
        <w:numPr>
          <w:ilvl w:val="1"/>
          <w:numId w:val="37"/>
        </w:numPr>
      </w:pPr>
      <w:r w:rsidRPr="00BA3563">
        <w:t xml:space="preserve">Obavy ze ztráty individuálního rozhodování. </w:t>
      </w:r>
    </w:p>
    <w:p w14:paraId="28C8BF02" w14:textId="77777777" w:rsidR="00AA3A5F" w:rsidRPr="00BA3563" w:rsidRDefault="00AA3A5F" w:rsidP="00BA3563">
      <w:pPr>
        <w:pStyle w:val="UZEIOdrky"/>
        <w:numPr>
          <w:ilvl w:val="1"/>
          <w:numId w:val="37"/>
        </w:numPr>
      </w:pPr>
      <w:r w:rsidRPr="00BA3563">
        <w:t>Specifická velikostní struktura zemědělských podniků v ČR. Velké zemědělské podniky mají zřejmě nižší pocit potřeby spolupráce.</w:t>
      </w:r>
    </w:p>
    <w:p w14:paraId="38548B24" w14:textId="77777777" w:rsidR="00AA3A5F" w:rsidRPr="00BA3563" w:rsidRDefault="00AA3A5F" w:rsidP="00BA3563">
      <w:pPr>
        <w:pStyle w:val="UZEINormaln"/>
        <w:numPr>
          <w:ilvl w:val="0"/>
          <w:numId w:val="36"/>
        </w:numPr>
        <w:rPr>
          <w:b/>
          <w:bCs/>
        </w:rPr>
      </w:pPr>
      <w:r w:rsidRPr="00BA3563">
        <w:rPr>
          <w:b/>
          <w:bCs/>
        </w:rPr>
        <w:t xml:space="preserve">Absence diferenciace produktů prostřednictvím vertikálních režimů kvality zapojujících prvovýrobce k prosazení výrobků ve spotřebitelských preferencích. </w:t>
      </w:r>
    </w:p>
    <w:p w14:paraId="1E6AAEA2" w14:textId="77777777" w:rsidR="00AA3A5F" w:rsidRPr="00BA3563" w:rsidRDefault="00AA3A5F" w:rsidP="00BA3563">
      <w:pPr>
        <w:pStyle w:val="UZEIOdrky"/>
        <w:numPr>
          <w:ilvl w:val="1"/>
          <w:numId w:val="37"/>
        </w:numPr>
      </w:pPr>
      <w:r w:rsidRPr="00BA3563">
        <w:t>Velmi pomalu se rozvíjí chápání marketingu nikoliv jen jako úkol státu, ale především privátní sféry (Strategie, MZe, 2015, s. 21).</w:t>
      </w:r>
    </w:p>
    <w:p w14:paraId="7DBA4C6C" w14:textId="77777777" w:rsidR="00AA3A5F" w:rsidRPr="00BA3563" w:rsidRDefault="00AA3A5F" w:rsidP="00BA3563">
      <w:pPr>
        <w:pStyle w:val="UZEIOdrky"/>
        <w:numPr>
          <w:ilvl w:val="1"/>
          <w:numId w:val="37"/>
        </w:numPr>
      </w:pPr>
      <w:r w:rsidRPr="00BA3563">
        <w:t>Vstupní náklady na vybudování systémů.</w:t>
      </w:r>
    </w:p>
    <w:p w14:paraId="6F12C7B0" w14:textId="77777777" w:rsidR="00AA3A5F" w:rsidRPr="00BA3563" w:rsidRDefault="00AA3A5F" w:rsidP="00BA3563">
      <w:pPr>
        <w:pStyle w:val="UZEIOdrky"/>
        <w:numPr>
          <w:ilvl w:val="1"/>
          <w:numId w:val="37"/>
        </w:numPr>
      </w:pPr>
      <w:r w:rsidRPr="00BA3563">
        <w:t xml:space="preserve">Nejistota v ochotě spotřebitelů platit cenovou prémii za výrobky v režimu kvality, averze k rizikům ve výrobě a očekávání řešení ze strany státu. </w:t>
      </w:r>
    </w:p>
    <w:p w14:paraId="3E839FE7" w14:textId="77777777" w:rsidR="00AA3A5F" w:rsidRPr="00BA3563" w:rsidRDefault="00AA3A5F" w:rsidP="00BA3563">
      <w:pPr>
        <w:pStyle w:val="UZEIOdrky"/>
        <w:numPr>
          <w:ilvl w:val="1"/>
          <w:numId w:val="37"/>
        </w:numPr>
      </w:pPr>
      <w:r w:rsidRPr="00BA3563">
        <w:t xml:space="preserve">Vysoké provozní podpory významně snižují stimulaci k vlastní aktivitě v marketingu prostřednictvím režimů kvality. </w:t>
      </w:r>
    </w:p>
    <w:p w14:paraId="5A9A2939" w14:textId="77777777" w:rsidR="00AA3A5F" w:rsidRPr="00B25A22" w:rsidRDefault="00AA3A5F" w:rsidP="00BA3563">
      <w:pPr>
        <w:pStyle w:val="UZEINormaln"/>
        <w:rPr>
          <w:rFonts w:eastAsia="Calibri"/>
        </w:rPr>
      </w:pPr>
      <w:r w:rsidRPr="00B25A22">
        <w:rPr>
          <w:rFonts w:eastAsia="Calibri"/>
        </w:rPr>
        <w:t>V obecném pojetí souvisí příčiny uvedené situace s průvodními jevy globalizace trhů a kumulace kapitálu. K vybraným příčinám blíže:</w:t>
      </w:r>
    </w:p>
    <w:p w14:paraId="672C5469" w14:textId="77777777" w:rsidR="00AA3A5F" w:rsidRPr="00B25A22" w:rsidRDefault="00AA3A5F" w:rsidP="00BA3563">
      <w:pPr>
        <w:pStyle w:val="UZEINormaln"/>
        <w:rPr>
          <w:rFonts w:eastAsia="Calibri"/>
        </w:rPr>
      </w:pPr>
      <w:r w:rsidRPr="00B25A22">
        <w:rPr>
          <w:rFonts w:eastAsia="Calibri"/>
          <w:b/>
        </w:rPr>
        <w:t>Příčiny asymetrické cenové transmise.</w:t>
      </w:r>
      <w:r w:rsidRPr="00B25A22">
        <w:rPr>
          <w:rFonts w:eastAsia="Calibri"/>
        </w:rPr>
        <w:t xml:space="preserve"> Otázce se věnovalo značné množství výzkumů, jejichž autoři dospěli k rozličným závěrům. Např. </w:t>
      </w:r>
      <w:proofErr w:type="spellStart"/>
      <w:r w:rsidRPr="00B25A22">
        <w:t>Abdulai</w:t>
      </w:r>
      <w:proofErr w:type="spellEnd"/>
      <w:r w:rsidRPr="00B25A22">
        <w:t xml:space="preserve"> (2002) patří k těm, kdo vypočítali, že zvýšení producentských cen masa se na maloobchodní ceny přenáší rychleji než jejich snížení. Von </w:t>
      </w:r>
      <w:proofErr w:type="spellStart"/>
      <w:r w:rsidRPr="00B25A22">
        <w:t>Cramon</w:t>
      </w:r>
      <w:r w:rsidRPr="00B25A22">
        <w:noBreakHyphen/>
        <w:t>Taubadel</w:t>
      </w:r>
      <w:proofErr w:type="spellEnd"/>
      <w:r w:rsidRPr="00B25A22">
        <w:t xml:space="preserve"> (1998) zjistil totéž ve vztahu CZV a CPV</w:t>
      </w:r>
      <w:r w:rsidRPr="00B25A22">
        <w:rPr>
          <w:sz w:val="20"/>
          <w:szCs w:val="20"/>
        </w:rPr>
        <w:t xml:space="preserve">. </w:t>
      </w:r>
      <w:proofErr w:type="spellStart"/>
      <w:r w:rsidRPr="00B25A22">
        <w:rPr>
          <w:rFonts w:eastAsia="Calibri"/>
        </w:rPr>
        <w:t>McCorriston</w:t>
      </w:r>
      <w:proofErr w:type="spellEnd"/>
      <w:r w:rsidRPr="00B25A22">
        <w:rPr>
          <w:rFonts w:eastAsia="Calibri"/>
        </w:rPr>
        <w:t xml:space="preserve"> &amp; Sheldon (1996) zjistili, že čím vyšší počet aktérů s tržní silou je ve vertikální tržní struktuře, tím nižší je přenos cenových změn. Podle </w:t>
      </w:r>
      <w:proofErr w:type="spellStart"/>
      <w:r w:rsidRPr="00B25A22">
        <w:rPr>
          <w:rFonts w:eastAsia="Calibri"/>
        </w:rPr>
        <w:t>Blindera</w:t>
      </w:r>
      <w:proofErr w:type="spellEnd"/>
      <w:r w:rsidRPr="00B25A22">
        <w:rPr>
          <w:rFonts w:eastAsia="Calibri"/>
        </w:rPr>
        <w:t xml:space="preserve"> (1994) a </w:t>
      </w:r>
      <w:proofErr w:type="spellStart"/>
      <w:r w:rsidRPr="00B25A22">
        <w:rPr>
          <w:rFonts w:eastAsia="Calibri"/>
        </w:rPr>
        <w:t>Blindera</w:t>
      </w:r>
      <w:proofErr w:type="spellEnd"/>
      <w:r w:rsidRPr="00B25A22">
        <w:rPr>
          <w:rFonts w:eastAsia="Calibri"/>
        </w:rPr>
        <w:t xml:space="preserve"> et al. (1998) může být příčinou to, že při růstu nákladů obchody nechtějí vybočovat z chování konkurentů. </w:t>
      </w:r>
      <w:proofErr w:type="spellStart"/>
      <w:r w:rsidRPr="00B25A22">
        <w:rPr>
          <w:rFonts w:eastAsia="Calibri"/>
        </w:rPr>
        <w:t>Zachariasse</w:t>
      </w:r>
      <w:proofErr w:type="spellEnd"/>
      <w:r w:rsidRPr="00B25A22">
        <w:rPr>
          <w:rFonts w:eastAsia="Calibri"/>
        </w:rPr>
        <w:t> &amp; </w:t>
      </w:r>
      <w:proofErr w:type="spellStart"/>
      <w:r w:rsidRPr="00B25A22">
        <w:rPr>
          <w:rFonts w:eastAsia="Calibri"/>
        </w:rPr>
        <w:t>Bunte</w:t>
      </w:r>
      <w:proofErr w:type="spellEnd"/>
      <w:r w:rsidRPr="00B25A22">
        <w:rPr>
          <w:rFonts w:eastAsia="Calibri"/>
        </w:rPr>
        <w:t xml:space="preserve"> (2003) uvádí dva důvody: vzájemnou závislost v rámci oligopolních a </w:t>
      </w:r>
      <w:proofErr w:type="spellStart"/>
      <w:r w:rsidRPr="00B25A22">
        <w:rPr>
          <w:rFonts w:eastAsia="Calibri"/>
        </w:rPr>
        <w:t>oligopsonních</w:t>
      </w:r>
      <w:proofErr w:type="spellEnd"/>
      <w:r w:rsidRPr="00B25A22">
        <w:rPr>
          <w:rFonts w:eastAsia="Calibri"/>
        </w:rPr>
        <w:t xml:space="preserve"> struktur, která způsobuje prodlevy, a asi vůbec nejdůležitější důvod, že riziko vyvolání cenové války v rámci těchto struktur vede k neochotě snižovat ceny. Příčiny asymetrie v ČR se mohou pohybovat v intencích uvedených výzkumů. Rozklíčování je obtížné. </w:t>
      </w:r>
    </w:p>
    <w:p w14:paraId="2AAF1EC8" w14:textId="77777777" w:rsidR="00AA3A5F" w:rsidRPr="00B25A22" w:rsidRDefault="00AA3A5F" w:rsidP="00BA3563">
      <w:pPr>
        <w:pStyle w:val="UZEINormaln"/>
        <w:rPr>
          <w:rFonts w:eastAsia="Calibri"/>
        </w:rPr>
      </w:pPr>
      <w:r w:rsidRPr="00B25A22">
        <w:rPr>
          <w:rFonts w:eastAsia="Calibri"/>
          <w:b/>
        </w:rPr>
        <w:t>Krátké řetězce</w:t>
      </w:r>
      <w:r w:rsidRPr="00B25A22">
        <w:rPr>
          <w:rFonts w:eastAsia="Calibri"/>
        </w:rPr>
        <w:t xml:space="preserve"> jsou využívány zejména malými zpracovateli.  Prodej v místě výroby však často naráží na cenovou bariéru a je tak podmíněn dopravou do urbanistických center nebo dobrým logistickým managementem, což je pro malé podnikatele často obtížné. </w:t>
      </w:r>
    </w:p>
    <w:p w14:paraId="1B3CA1F2" w14:textId="77777777" w:rsidR="00AA3A5F" w:rsidRPr="00B25A22" w:rsidRDefault="00AA3A5F" w:rsidP="00BA3563">
      <w:pPr>
        <w:pStyle w:val="UZEINormaln"/>
        <w:rPr>
          <w:rFonts w:eastAsia="Calibri"/>
        </w:rPr>
      </w:pPr>
      <w:r w:rsidRPr="00B25A22">
        <w:rPr>
          <w:rFonts w:eastAsia="Calibri"/>
          <w:b/>
        </w:rPr>
        <w:lastRenderedPageBreak/>
        <w:t>Zpracování v zemědělském podniku</w:t>
      </w:r>
      <w:r w:rsidRPr="00B25A22">
        <w:rPr>
          <w:rFonts w:eastAsia="Calibri"/>
        </w:rPr>
        <w:t xml:space="preserve"> je spojeno s vysokými počátečními náklady pro vybudování finalizační fáze výroby i s řadou legislativních a administrativních nároků a se znalostí požadavků kontrolních organizací. </w:t>
      </w:r>
    </w:p>
    <w:p w14:paraId="001D78BD" w14:textId="77777777" w:rsidR="00AA3A5F" w:rsidRPr="00B25A22" w:rsidRDefault="00AA3A5F" w:rsidP="00BA3563">
      <w:pPr>
        <w:pStyle w:val="UZEINormaln"/>
        <w:rPr>
          <w:rFonts w:eastAsia="Calibri"/>
        </w:rPr>
      </w:pPr>
      <w:r w:rsidRPr="00B25A22">
        <w:rPr>
          <w:rFonts w:eastAsia="Calibri"/>
          <w:b/>
        </w:rPr>
        <w:t>Spolupráce při odbytu výrobků</w:t>
      </w:r>
      <w:r w:rsidRPr="00B25A22">
        <w:rPr>
          <w:rFonts w:eastAsia="Calibri"/>
        </w:rPr>
        <w:t xml:space="preserve"> funguje v podstatě pouze tam, kde to vyžaduje povaha produktu. V dalších odvětvích vznikla řada organizací výrobců či odbytových sdružení z podnětu dotačního titulu PRV 2007-2013 na zakládání skupin výrobců.  Po vyčerpání podpory velká část organizací zanikla nebo funguje pouze formálně. Neúspěch v setrvání ustavených organizací je negativním precedentem pro současné postoje zemědělců. Problémem mohou být i administrativní kroky spojené se vznikem a činností organizací. </w:t>
      </w:r>
    </w:p>
    <w:p w14:paraId="05ADAA81" w14:textId="6F6BBFB2" w:rsidR="00AA3A5F" w:rsidRDefault="00AA3A5F" w:rsidP="00BA3563">
      <w:pPr>
        <w:pStyle w:val="UZEINormaln"/>
        <w:rPr>
          <w:rFonts w:eastAsia="Calibri"/>
        </w:rPr>
      </w:pPr>
      <w:r w:rsidRPr="00B25A22">
        <w:rPr>
          <w:rFonts w:eastAsia="Calibri"/>
          <w:b/>
        </w:rPr>
        <w:t>Vertikální programy kvality</w:t>
      </w:r>
      <w:r w:rsidRPr="00B25A22">
        <w:rPr>
          <w:rFonts w:eastAsia="Calibri"/>
        </w:rPr>
        <w:t xml:space="preserve"> musí být založeny na spolupráci. Základem je ochota ke spolupráci a pochopení společného cíle – uspět na trhu a získat si věrnou spotřebitelskou klientelu. Předpokladem účasti v systému je dodržet předem dané postupy, což může vyžadovat dodatečné investice. Současně jsou nutné vstupní náklady na vybudování systémů a vytvoření obecného povědomí spotřebitelů o jeho kvalitě. Příčinou absence programů může být též nejistota výrobců, zda tvrzení spotřebitelů týkajícího se zájmu o výrobky s nadstandardní kvalitou jsou jen deklarovaná, či se potvrdí v praxi. </w:t>
      </w:r>
    </w:p>
    <w:p w14:paraId="7EDCC002" w14:textId="65145CFE" w:rsidR="00BA3563" w:rsidRPr="00BA3563" w:rsidRDefault="00BA3563" w:rsidP="00BA3563">
      <w:pPr>
        <w:spacing w:after="160" w:line="259" w:lineRule="auto"/>
        <w:jc w:val="left"/>
        <w:rPr>
          <w:rFonts w:eastAsia="Calibri" w:cstheme="minorHAnsi"/>
          <w:szCs w:val="24"/>
          <w:lang w:val="cs-CZ" w:eastAsia="cs-CZ"/>
        </w:rPr>
      </w:pPr>
      <w:r w:rsidRPr="000703B9">
        <w:rPr>
          <w:rFonts w:eastAsia="Calibri"/>
          <w:lang w:val="cs-CZ"/>
        </w:rPr>
        <w:br w:type="page"/>
      </w:r>
    </w:p>
    <w:p w14:paraId="7272C10C" w14:textId="77777777" w:rsidR="00AA3A5F" w:rsidRPr="00BA3563" w:rsidRDefault="00AA3A5F" w:rsidP="00BA3563">
      <w:pPr>
        <w:pStyle w:val="Nadpis1"/>
      </w:pPr>
      <w:bookmarkStart w:id="51" w:name="_Toc12598429"/>
      <w:bookmarkStart w:id="52" w:name="_Toc80969604"/>
      <w:bookmarkStart w:id="53" w:name="_Toc81743385"/>
      <w:bookmarkStart w:id="54" w:name="_Toc81743832"/>
      <w:r w:rsidRPr="00BA3563">
        <w:lastRenderedPageBreak/>
        <w:t>Závažnost problému</w:t>
      </w:r>
      <w:bookmarkEnd w:id="51"/>
      <w:bookmarkEnd w:id="52"/>
      <w:bookmarkEnd w:id="53"/>
      <w:bookmarkEnd w:id="54"/>
      <w:r w:rsidRPr="00BA3563">
        <w:t xml:space="preserve"> </w:t>
      </w:r>
    </w:p>
    <w:p w14:paraId="3764DBB0" w14:textId="77777777" w:rsidR="00AA3A5F" w:rsidRPr="005E49A7" w:rsidRDefault="00AA3A5F" w:rsidP="005E49A7">
      <w:pPr>
        <w:pStyle w:val="UZEINormaln"/>
        <w:numPr>
          <w:ilvl w:val="0"/>
          <w:numId w:val="38"/>
        </w:numPr>
        <w:rPr>
          <w:b/>
          <w:bCs/>
        </w:rPr>
      </w:pPr>
      <w:r w:rsidRPr="005E49A7">
        <w:rPr>
          <w:b/>
          <w:bCs/>
        </w:rPr>
        <w:t>Dominantní vliv obchodních řetězců na úrovni maloobchodního odběratele.</w:t>
      </w:r>
    </w:p>
    <w:p w14:paraId="334CB90B" w14:textId="77777777" w:rsidR="00AA3A5F" w:rsidRPr="00B25A22" w:rsidRDefault="00AA3A5F" w:rsidP="005E49A7">
      <w:pPr>
        <w:pStyle w:val="UZEINormaln"/>
        <w:rPr>
          <w:rFonts w:eastAsia="Calibri"/>
        </w:rPr>
      </w:pPr>
      <w:r w:rsidRPr="00B25A22">
        <w:rPr>
          <w:rFonts w:eastAsia="Calibri"/>
        </w:rPr>
        <w:t xml:space="preserve">Problém se vyskytuje napříč odvětvími zemědělské produkce. Na jedné straně stojí vztah výrobců potravin a maloobchodních řetězců na druhé straně význam řetězců pro spotřebitele. V prvním případě nebylo nalezeno odvětví, kde by na straně dodavatelů stála významná protiváha maloobchodním řetězcům. V případě významu maloobchodních řetězců pro spotřebitele existují jen mírné odchylky mezi skupinami potravin, kdy např. pro masné výrobky jsou jako hlavní nákupní místo udávány maloobchodní řetězce o něco méně než např. v případě ovoce a zeleniny (viz data </w:t>
      </w:r>
      <w:proofErr w:type="spellStart"/>
      <w:r w:rsidRPr="00B25A22">
        <w:rPr>
          <w:rFonts w:eastAsia="Calibri"/>
        </w:rPr>
        <w:t>GfK</w:t>
      </w:r>
      <w:proofErr w:type="spellEnd"/>
      <w:r w:rsidRPr="00B25A22">
        <w:rPr>
          <w:rFonts w:eastAsia="Calibri"/>
        </w:rPr>
        <w:t xml:space="preserve"> v kapitole 2 „Stanovení skutečného problému …“).  </w:t>
      </w:r>
    </w:p>
    <w:p w14:paraId="2163A720" w14:textId="77777777" w:rsidR="00AA3A5F" w:rsidRPr="005E49A7" w:rsidRDefault="00AA3A5F" w:rsidP="005E49A7">
      <w:pPr>
        <w:pStyle w:val="UZEINormaln"/>
        <w:numPr>
          <w:ilvl w:val="0"/>
          <w:numId w:val="38"/>
        </w:numPr>
        <w:rPr>
          <w:b/>
          <w:bCs/>
        </w:rPr>
      </w:pPr>
      <w:r w:rsidRPr="005E49A7">
        <w:rPr>
          <w:b/>
          <w:bCs/>
        </w:rPr>
        <w:t>Nízká míra sdružování výrobců při odbytu.</w:t>
      </w:r>
    </w:p>
    <w:p w14:paraId="070F3F16" w14:textId="77777777" w:rsidR="00AA3A5F" w:rsidRPr="00B25A22" w:rsidRDefault="00AA3A5F" w:rsidP="005E49A7">
      <w:pPr>
        <w:pStyle w:val="UZEINormaln"/>
        <w:rPr>
          <w:rFonts w:eastAsia="Calibri"/>
        </w:rPr>
      </w:pPr>
      <w:r w:rsidRPr="00B25A22">
        <w:rPr>
          <w:rFonts w:eastAsia="Calibri"/>
        </w:rPr>
        <w:t xml:space="preserve">Problém se vyskytuje napříč odvětvími zemědělské produkce. Výjimku tvoří odvětví mléka a ovoce a zeleniny, kde je sdružování vynuceno podstatou produktu. Ani v těchto odvětvích však nelze zkonstatovat vyřešenou situaci. </w:t>
      </w:r>
    </w:p>
    <w:p w14:paraId="6EF3D4E7" w14:textId="77777777" w:rsidR="00AA3A5F" w:rsidRPr="005E49A7" w:rsidRDefault="00AA3A5F" w:rsidP="005E49A7">
      <w:pPr>
        <w:pStyle w:val="UZEINormaln"/>
        <w:numPr>
          <w:ilvl w:val="0"/>
          <w:numId w:val="38"/>
        </w:numPr>
        <w:rPr>
          <w:b/>
          <w:bCs/>
        </w:rPr>
      </w:pPr>
      <w:r w:rsidRPr="005E49A7">
        <w:rPr>
          <w:b/>
          <w:bCs/>
        </w:rPr>
        <w:t xml:space="preserve">Absence diferenciace produktů prostřednictvím vertikálních režimů kvality zapojujících prvovýrobce k prosazení výrobků ve spotřebitelských preferencích. </w:t>
      </w:r>
    </w:p>
    <w:p w14:paraId="1B3B9EAD" w14:textId="1721DFD2" w:rsidR="005E49A7" w:rsidRDefault="00AA3A5F" w:rsidP="005E49A7">
      <w:pPr>
        <w:pStyle w:val="UZEINormaln"/>
        <w:rPr>
          <w:rFonts w:eastAsia="Calibri"/>
        </w:rPr>
      </w:pPr>
      <w:r w:rsidRPr="00B25A22">
        <w:rPr>
          <w:rFonts w:eastAsia="Calibri"/>
        </w:rPr>
        <w:t>V žádném odvětví nefunguje vertikální systém kvality, který by posiloval pozici zemědělců. Na trhu se vyskytuje celá škála značek kvality, u nichž jsou podmínky certifikace v naprosté většině definovány na úrovni zpracovatele</w:t>
      </w:r>
      <w:r w:rsidRPr="00B25A22">
        <w:rPr>
          <w:rStyle w:val="Znakapoznpodarou"/>
          <w:rFonts w:eastAsia="Calibri"/>
        </w:rPr>
        <w:footnoteReference w:id="19"/>
      </w:r>
      <w:r w:rsidRPr="00B25A22">
        <w:rPr>
          <w:rFonts w:eastAsia="Calibri"/>
        </w:rPr>
        <w:t xml:space="preserve">. Mimoto je na trhu velké množství značek, a tím je spotřebitel dezorientován.  </w:t>
      </w:r>
    </w:p>
    <w:p w14:paraId="609389FF" w14:textId="0ECBC639" w:rsidR="00AA3A5F" w:rsidRPr="005E49A7" w:rsidRDefault="005E49A7" w:rsidP="005E49A7">
      <w:pPr>
        <w:spacing w:after="160" w:line="259" w:lineRule="auto"/>
        <w:jc w:val="left"/>
        <w:rPr>
          <w:rFonts w:eastAsia="Calibri" w:cstheme="minorHAnsi"/>
          <w:szCs w:val="24"/>
          <w:lang w:val="cs-CZ" w:eastAsia="cs-CZ"/>
        </w:rPr>
      </w:pPr>
      <w:r w:rsidRPr="000703B9">
        <w:rPr>
          <w:rFonts w:eastAsia="Calibri"/>
          <w:lang w:val="cs-CZ"/>
        </w:rPr>
        <w:br w:type="page"/>
      </w:r>
    </w:p>
    <w:p w14:paraId="7DD4931C" w14:textId="1D2ADE85" w:rsidR="00AA3A5F" w:rsidRPr="008C6819" w:rsidRDefault="005E49A7" w:rsidP="008C6819">
      <w:pPr>
        <w:pStyle w:val="Nadpis1"/>
      </w:pPr>
      <w:bookmarkStart w:id="55" w:name="_Toc12598430"/>
      <w:bookmarkStart w:id="56" w:name="_Toc80969605"/>
      <w:bookmarkStart w:id="57" w:name="_Toc81743386"/>
      <w:bookmarkStart w:id="58" w:name="_Toc81743833"/>
      <w:r>
        <w:lastRenderedPageBreak/>
        <w:t>Ř</w:t>
      </w:r>
      <w:r w:rsidRPr="00B25A22">
        <w:t>ešení v rámci nástrojů SZP, které lze uvažovat v nových návrzích SZP</w:t>
      </w:r>
      <w:bookmarkEnd w:id="55"/>
      <w:bookmarkEnd w:id="56"/>
      <w:bookmarkEnd w:id="57"/>
      <w:bookmarkEnd w:id="58"/>
    </w:p>
    <w:p w14:paraId="5F1C9EC4" w14:textId="77777777" w:rsidR="00AA3A5F" w:rsidRPr="008C6819" w:rsidRDefault="00AA3A5F" w:rsidP="008C6819">
      <w:pPr>
        <w:pStyle w:val="UZEINormaln"/>
      </w:pPr>
      <w:r w:rsidRPr="008C6819">
        <w:t>V nových návrzích SZP lze uvažovat o setrvání stávajících nástrojů z PRV 2014-20, které jsou cílené na zlepšení postavení zemědělců v hodnotovém řetězci, a je možné aplikovat i nové intervence.</w:t>
      </w:r>
    </w:p>
    <w:p w14:paraId="6803C04F" w14:textId="437ACCD1" w:rsidR="00AA3A5F" w:rsidRPr="008C6819" w:rsidRDefault="00AA3A5F" w:rsidP="008C6819">
      <w:pPr>
        <w:pStyle w:val="UZEINormaln"/>
      </w:pPr>
      <w:r w:rsidRPr="008C6819">
        <w:t>Stávající operace 16.4.1 Horizontální a vertikální spolupráce mezi účastníky krátkých dodavatelských řetězců a místních trhů vykazuje minimální až nulové využití. Na operaci byla stanovena cílová hodnota 90 podpořených zemědělských podniků zapojených do spolupráce. Podle průběžného hodnocení PRV 2014-20 k 30. 6. 2018 (</w:t>
      </w:r>
      <w:proofErr w:type="spellStart"/>
      <w:r w:rsidRPr="008C6819">
        <w:t>Naviga</w:t>
      </w:r>
      <w:proofErr w:type="spellEnd"/>
      <w:r w:rsidRPr="008C6819">
        <w:t xml:space="preserve">, 2018, a) bylo v rámci této operace zaregistrováno celkem 12 projektů, nicméně u všech 8 projektů podaných před rokem 2018 došlo k zamítnutí žádosti o dotaci a k ukončení administrace. Požadované veřejné výdaje u 4 podaných projektů v roce 2018, které zůstávaly v procesu administrace, ve výši 83 755 EUR, představují pouze 2 % alokace na operaci 16.4.1. Aktuálně dle údajů SZIF bylo k </w:t>
      </w:r>
      <w:r w:rsidR="004F1CE2">
        <w:t>30</w:t>
      </w:r>
      <w:r w:rsidRPr="008C6819">
        <w:t xml:space="preserve">. </w:t>
      </w:r>
      <w:r w:rsidR="004F1CE2">
        <w:t>6</w:t>
      </w:r>
      <w:r w:rsidRPr="008C6819">
        <w:t xml:space="preserve">. </w:t>
      </w:r>
      <w:r w:rsidR="004F1CE2" w:rsidRPr="008C6819">
        <w:t>20</w:t>
      </w:r>
      <w:r w:rsidR="004F1CE2">
        <w:t>21</w:t>
      </w:r>
      <w:r w:rsidR="004F1CE2" w:rsidRPr="008C6819">
        <w:t xml:space="preserve"> </w:t>
      </w:r>
      <w:r w:rsidRPr="008C6819">
        <w:t xml:space="preserve">zaregistrováno celkem </w:t>
      </w:r>
      <w:r w:rsidR="004F1CE2" w:rsidRPr="008C6819">
        <w:t>1</w:t>
      </w:r>
      <w:r w:rsidR="004F1CE2">
        <w:t>8</w:t>
      </w:r>
      <w:r w:rsidR="004F1CE2" w:rsidRPr="008C6819">
        <w:t> </w:t>
      </w:r>
      <w:r w:rsidRPr="008C6819">
        <w:t xml:space="preserve">žádostí o dotaci, z toho u </w:t>
      </w:r>
      <w:r w:rsidR="004F1CE2" w:rsidRPr="008C6819">
        <w:t>1</w:t>
      </w:r>
      <w:r w:rsidR="004F1CE2">
        <w:t>5</w:t>
      </w:r>
      <w:r w:rsidR="004F1CE2" w:rsidRPr="008C6819">
        <w:t xml:space="preserve"> </w:t>
      </w:r>
      <w:r w:rsidRPr="008C6819">
        <w:t xml:space="preserve">žádostí byla </w:t>
      </w:r>
      <w:r w:rsidR="004F1CE2">
        <w:t>tří</w:t>
      </w:r>
      <w:r w:rsidRPr="008C6819">
        <w:t xml:space="preserve"> </w:t>
      </w:r>
      <w:r w:rsidR="004F1CE2" w:rsidRPr="008C6819">
        <w:t>žádost</w:t>
      </w:r>
      <w:r w:rsidR="004F1CE2">
        <w:t>í</w:t>
      </w:r>
      <w:r w:rsidR="004F1CE2" w:rsidRPr="008C6819">
        <w:t xml:space="preserve"> </w:t>
      </w:r>
      <w:r w:rsidRPr="008C6819">
        <w:t>- viz tab. 13.</w:t>
      </w:r>
    </w:p>
    <w:p w14:paraId="72F5813F" w14:textId="204DA04C" w:rsidR="00AA3A5F" w:rsidRPr="00B25A22" w:rsidRDefault="008C6819" w:rsidP="008C6819">
      <w:pPr>
        <w:pStyle w:val="UZEITaB"/>
      </w:pPr>
      <w:r>
        <w:t xml:space="preserve"> </w:t>
      </w:r>
      <w:bookmarkStart w:id="59" w:name="_Toc81743449"/>
      <w:r w:rsidR="00AA3A5F" w:rsidRPr="00B25A22">
        <w:t>Přehled žádostí o podporu z dotačního titulu 16.4.1.</w:t>
      </w:r>
      <w:bookmarkEnd w:id="59"/>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8"/>
        <w:gridCol w:w="2975"/>
        <w:gridCol w:w="2410"/>
        <w:gridCol w:w="2167"/>
      </w:tblGrid>
      <w:tr w:rsidR="00AA3A5F" w:rsidRPr="00B25A22" w14:paraId="2567152E" w14:textId="77777777" w:rsidTr="007A68D5">
        <w:tc>
          <w:tcPr>
            <w:tcW w:w="1268" w:type="dxa"/>
            <w:tcMar>
              <w:top w:w="0" w:type="dxa"/>
              <w:left w:w="108" w:type="dxa"/>
              <w:bottom w:w="0" w:type="dxa"/>
              <w:right w:w="108" w:type="dxa"/>
            </w:tcMar>
            <w:hideMark/>
          </w:tcPr>
          <w:p w14:paraId="4F6C32F7" w14:textId="77777777" w:rsidR="00AA3A5F" w:rsidRPr="00B25A22" w:rsidRDefault="00AA3A5F" w:rsidP="008C6819">
            <w:pPr>
              <w:spacing w:line="300" w:lineRule="atLeast"/>
              <w:ind w:hanging="120"/>
              <w:jc w:val="center"/>
              <w:rPr>
                <w:rFonts w:cs="Times New Roman"/>
                <w:lang w:val="cs-CZ"/>
              </w:rPr>
            </w:pPr>
            <w:r w:rsidRPr="00B25A22">
              <w:rPr>
                <w:rFonts w:cs="Times New Roman"/>
                <w:sz w:val="22"/>
                <w:lang w:val="cs-CZ"/>
              </w:rPr>
              <w:t>Kolo příjmu</w:t>
            </w:r>
          </w:p>
        </w:tc>
        <w:tc>
          <w:tcPr>
            <w:tcW w:w="2975" w:type="dxa"/>
            <w:tcMar>
              <w:top w:w="0" w:type="dxa"/>
              <w:left w:w="108" w:type="dxa"/>
              <w:bottom w:w="0" w:type="dxa"/>
              <w:right w:w="108" w:type="dxa"/>
            </w:tcMar>
            <w:hideMark/>
          </w:tcPr>
          <w:p w14:paraId="04EC08EC"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Počet zaregistrovaných ŽOD</w:t>
            </w:r>
          </w:p>
        </w:tc>
        <w:tc>
          <w:tcPr>
            <w:tcW w:w="2410" w:type="dxa"/>
            <w:tcMar>
              <w:top w:w="0" w:type="dxa"/>
              <w:left w:w="108" w:type="dxa"/>
              <w:bottom w:w="0" w:type="dxa"/>
              <w:right w:w="108" w:type="dxa"/>
            </w:tcMar>
            <w:hideMark/>
          </w:tcPr>
          <w:p w14:paraId="6E1EFB61" w14:textId="77777777" w:rsidR="00AA3A5F" w:rsidRPr="00B25A22" w:rsidRDefault="00AA3A5F" w:rsidP="008C6819">
            <w:pPr>
              <w:spacing w:line="300" w:lineRule="atLeast"/>
              <w:ind w:hanging="103"/>
              <w:jc w:val="center"/>
              <w:rPr>
                <w:rFonts w:cs="Times New Roman"/>
                <w:lang w:val="cs-CZ"/>
              </w:rPr>
            </w:pPr>
            <w:r w:rsidRPr="00B25A22">
              <w:rPr>
                <w:rFonts w:cs="Times New Roman"/>
                <w:sz w:val="22"/>
                <w:lang w:val="cs-CZ"/>
              </w:rPr>
              <w:t>Ukončení administrace</w:t>
            </w:r>
          </w:p>
        </w:tc>
        <w:tc>
          <w:tcPr>
            <w:tcW w:w="2167" w:type="dxa"/>
            <w:tcMar>
              <w:top w:w="0" w:type="dxa"/>
              <w:left w:w="108" w:type="dxa"/>
              <w:bottom w:w="0" w:type="dxa"/>
              <w:right w:w="108" w:type="dxa"/>
            </w:tcMar>
            <w:hideMark/>
          </w:tcPr>
          <w:p w14:paraId="359EBA8A"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Podepsaná Dohoda</w:t>
            </w:r>
          </w:p>
        </w:tc>
      </w:tr>
      <w:tr w:rsidR="00AA3A5F" w:rsidRPr="00B25A22" w14:paraId="69D86C45" w14:textId="77777777" w:rsidTr="007A68D5">
        <w:tc>
          <w:tcPr>
            <w:tcW w:w="1268" w:type="dxa"/>
            <w:tcMar>
              <w:top w:w="0" w:type="dxa"/>
              <w:left w:w="108" w:type="dxa"/>
              <w:bottom w:w="0" w:type="dxa"/>
              <w:right w:w="108" w:type="dxa"/>
            </w:tcMar>
            <w:hideMark/>
          </w:tcPr>
          <w:p w14:paraId="7EA43F67" w14:textId="77777777" w:rsidR="00AA3A5F" w:rsidRPr="00B25A22" w:rsidRDefault="00AA3A5F" w:rsidP="008C6819">
            <w:pPr>
              <w:spacing w:line="300" w:lineRule="atLeast"/>
              <w:ind w:firstLine="22"/>
              <w:jc w:val="center"/>
              <w:rPr>
                <w:rFonts w:cs="Times New Roman"/>
                <w:lang w:val="cs-CZ"/>
              </w:rPr>
            </w:pPr>
            <w:r w:rsidRPr="00B25A22">
              <w:rPr>
                <w:rFonts w:cs="Times New Roman"/>
                <w:sz w:val="22"/>
                <w:lang w:val="cs-CZ"/>
              </w:rPr>
              <w:t>3. kolo</w:t>
            </w:r>
          </w:p>
        </w:tc>
        <w:tc>
          <w:tcPr>
            <w:tcW w:w="2975" w:type="dxa"/>
            <w:tcMar>
              <w:top w:w="0" w:type="dxa"/>
              <w:left w:w="108" w:type="dxa"/>
              <w:bottom w:w="0" w:type="dxa"/>
              <w:right w:w="108" w:type="dxa"/>
            </w:tcMar>
            <w:hideMark/>
          </w:tcPr>
          <w:p w14:paraId="7E214D5F"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1</w:t>
            </w:r>
          </w:p>
        </w:tc>
        <w:tc>
          <w:tcPr>
            <w:tcW w:w="2410" w:type="dxa"/>
            <w:tcMar>
              <w:top w:w="0" w:type="dxa"/>
              <w:left w:w="108" w:type="dxa"/>
              <w:bottom w:w="0" w:type="dxa"/>
              <w:right w:w="108" w:type="dxa"/>
            </w:tcMar>
            <w:hideMark/>
          </w:tcPr>
          <w:p w14:paraId="5EA2388F"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1</w:t>
            </w:r>
          </w:p>
        </w:tc>
        <w:tc>
          <w:tcPr>
            <w:tcW w:w="2167" w:type="dxa"/>
            <w:tcMar>
              <w:top w:w="0" w:type="dxa"/>
              <w:left w:w="108" w:type="dxa"/>
              <w:bottom w:w="0" w:type="dxa"/>
              <w:right w:w="108" w:type="dxa"/>
            </w:tcMar>
            <w:hideMark/>
          </w:tcPr>
          <w:p w14:paraId="1060BA51"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w:t>
            </w:r>
          </w:p>
        </w:tc>
      </w:tr>
      <w:tr w:rsidR="00AA3A5F" w:rsidRPr="00B25A22" w14:paraId="75BA79A6" w14:textId="77777777" w:rsidTr="007A68D5">
        <w:tc>
          <w:tcPr>
            <w:tcW w:w="1268" w:type="dxa"/>
            <w:tcMar>
              <w:top w:w="0" w:type="dxa"/>
              <w:left w:w="108" w:type="dxa"/>
              <w:bottom w:w="0" w:type="dxa"/>
              <w:right w:w="108" w:type="dxa"/>
            </w:tcMar>
            <w:hideMark/>
          </w:tcPr>
          <w:p w14:paraId="2EBE91C6" w14:textId="77777777" w:rsidR="00AA3A5F" w:rsidRPr="00B25A22" w:rsidRDefault="00AA3A5F" w:rsidP="008C6819">
            <w:pPr>
              <w:spacing w:line="300" w:lineRule="atLeast"/>
              <w:ind w:firstLine="22"/>
              <w:jc w:val="center"/>
              <w:rPr>
                <w:rFonts w:cs="Times New Roman"/>
                <w:lang w:val="cs-CZ"/>
              </w:rPr>
            </w:pPr>
            <w:r w:rsidRPr="00B25A22">
              <w:rPr>
                <w:rFonts w:cs="Times New Roman"/>
                <w:sz w:val="22"/>
                <w:lang w:val="cs-CZ"/>
              </w:rPr>
              <w:t>4. kolo</w:t>
            </w:r>
          </w:p>
        </w:tc>
        <w:tc>
          <w:tcPr>
            <w:tcW w:w="2975" w:type="dxa"/>
            <w:tcMar>
              <w:top w:w="0" w:type="dxa"/>
              <w:left w:w="108" w:type="dxa"/>
              <w:bottom w:w="0" w:type="dxa"/>
              <w:right w:w="108" w:type="dxa"/>
            </w:tcMar>
            <w:hideMark/>
          </w:tcPr>
          <w:p w14:paraId="5FEB1253"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6</w:t>
            </w:r>
          </w:p>
        </w:tc>
        <w:tc>
          <w:tcPr>
            <w:tcW w:w="2410" w:type="dxa"/>
            <w:tcMar>
              <w:top w:w="0" w:type="dxa"/>
              <w:left w:w="108" w:type="dxa"/>
              <w:bottom w:w="0" w:type="dxa"/>
              <w:right w:w="108" w:type="dxa"/>
            </w:tcMar>
            <w:hideMark/>
          </w:tcPr>
          <w:p w14:paraId="582AD93C"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6</w:t>
            </w:r>
          </w:p>
        </w:tc>
        <w:tc>
          <w:tcPr>
            <w:tcW w:w="2167" w:type="dxa"/>
            <w:tcMar>
              <w:top w:w="0" w:type="dxa"/>
              <w:left w:w="108" w:type="dxa"/>
              <w:bottom w:w="0" w:type="dxa"/>
              <w:right w:w="108" w:type="dxa"/>
            </w:tcMar>
            <w:hideMark/>
          </w:tcPr>
          <w:p w14:paraId="7EDCBFE4"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w:t>
            </w:r>
          </w:p>
        </w:tc>
      </w:tr>
      <w:tr w:rsidR="00AA3A5F" w:rsidRPr="00B25A22" w14:paraId="0A1B232D" w14:textId="77777777" w:rsidTr="007A68D5">
        <w:tc>
          <w:tcPr>
            <w:tcW w:w="1268" w:type="dxa"/>
            <w:tcMar>
              <w:top w:w="0" w:type="dxa"/>
              <w:left w:w="108" w:type="dxa"/>
              <w:bottom w:w="0" w:type="dxa"/>
              <w:right w:w="108" w:type="dxa"/>
            </w:tcMar>
            <w:hideMark/>
          </w:tcPr>
          <w:p w14:paraId="0DD9BDD5" w14:textId="77777777" w:rsidR="00AA3A5F" w:rsidRPr="00B25A22" w:rsidRDefault="00AA3A5F" w:rsidP="008C6819">
            <w:pPr>
              <w:spacing w:line="300" w:lineRule="atLeast"/>
              <w:ind w:firstLine="22"/>
              <w:jc w:val="center"/>
              <w:rPr>
                <w:rFonts w:cs="Times New Roman"/>
                <w:lang w:val="cs-CZ"/>
              </w:rPr>
            </w:pPr>
            <w:r w:rsidRPr="00B25A22">
              <w:rPr>
                <w:rFonts w:cs="Times New Roman"/>
                <w:sz w:val="22"/>
                <w:lang w:val="cs-CZ"/>
              </w:rPr>
              <w:t>5. kolo</w:t>
            </w:r>
          </w:p>
        </w:tc>
        <w:tc>
          <w:tcPr>
            <w:tcW w:w="2975" w:type="dxa"/>
            <w:tcMar>
              <w:top w:w="0" w:type="dxa"/>
              <w:left w:w="108" w:type="dxa"/>
              <w:bottom w:w="0" w:type="dxa"/>
              <w:right w:w="108" w:type="dxa"/>
            </w:tcMar>
            <w:hideMark/>
          </w:tcPr>
          <w:p w14:paraId="755456D6"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1</w:t>
            </w:r>
          </w:p>
        </w:tc>
        <w:tc>
          <w:tcPr>
            <w:tcW w:w="2410" w:type="dxa"/>
            <w:tcMar>
              <w:top w:w="0" w:type="dxa"/>
              <w:left w:w="108" w:type="dxa"/>
              <w:bottom w:w="0" w:type="dxa"/>
              <w:right w:w="108" w:type="dxa"/>
            </w:tcMar>
            <w:hideMark/>
          </w:tcPr>
          <w:p w14:paraId="3F94545E"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1</w:t>
            </w:r>
          </w:p>
        </w:tc>
        <w:tc>
          <w:tcPr>
            <w:tcW w:w="2167" w:type="dxa"/>
            <w:tcMar>
              <w:top w:w="0" w:type="dxa"/>
              <w:left w:w="108" w:type="dxa"/>
              <w:bottom w:w="0" w:type="dxa"/>
              <w:right w:w="108" w:type="dxa"/>
            </w:tcMar>
            <w:hideMark/>
          </w:tcPr>
          <w:p w14:paraId="3875611B"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w:t>
            </w:r>
          </w:p>
        </w:tc>
      </w:tr>
      <w:tr w:rsidR="00AA3A5F" w:rsidRPr="00B25A22" w14:paraId="538CC507" w14:textId="77777777" w:rsidTr="007A68D5">
        <w:tc>
          <w:tcPr>
            <w:tcW w:w="1268" w:type="dxa"/>
            <w:tcMar>
              <w:top w:w="0" w:type="dxa"/>
              <w:left w:w="108" w:type="dxa"/>
              <w:bottom w:w="0" w:type="dxa"/>
              <w:right w:w="108" w:type="dxa"/>
            </w:tcMar>
            <w:hideMark/>
          </w:tcPr>
          <w:p w14:paraId="4E212B12" w14:textId="77777777" w:rsidR="00AA3A5F" w:rsidRPr="00B25A22" w:rsidRDefault="00AA3A5F" w:rsidP="008C6819">
            <w:pPr>
              <w:spacing w:line="300" w:lineRule="atLeast"/>
              <w:ind w:firstLine="22"/>
              <w:jc w:val="center"/>
              <w:rPr>
                <w:rFonts w:cs="Times New Roman"/>
                <w:lang w:val="cs-CZ"/>
              </w:rPr>
            </w:pPr>
            <w:r w:rsidRPr="00B25A22">
              <w:rPr>
                <w:rFonts w:cs="Times New Roman"/>
                <w:sz w:val="22"/>
                <w:lang w:val="cs-CZ"/>
              </w:rPr>
              <w:t>6. kolo</w:t>
            </w:r>
          </w:p>
        </w:tc>
        <w:tc>
          <w:tcPr>
            <w:tcW w:w="2975" w:type="dxa"/>
            <w:tcMar>
              <w:top w:w="0" w:type="dxa"/>
              <w:left w:w="108" w:type="dxa"/>
              <w:bottom w:w="0" w:type="dxa"/>
              <w:right w:w="108" w:type="dxa"/>
            </w:tcMar>
            <w:hideMark/>
          </w:tcPr>
          <w:p w14:paraId="697E3471"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4</w:t>
            </w:r>
          </w:p>
        </w:tc>
        <w:tc>
          <w:tcPr>
            <w:tcW w:w="2410" w:type="dxa"/>
            <w:tcMar>
              <w:top w:w="0" w:type="dxa"/>
              <w:left w:w="108" w:type="dxa"/>
              <w:bottom w:w="0" w:type="dxa"/>
              <w:right w:w="108" w:type="dxa"/>
            </w:tcMar>
            <w:hideMark/>
          </w:tcPr>
          <w:p w14:paraId="29AECA43"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2</w:t>
            </w:r>
          </w:p>
        </w:tc>
        <w:tc>
          <w:tcPr>
            <w:tcW w:w="2167" w:type="dxa"/>
            <w:tcMar>
              <w:top w:w="0" w:type="dxa"/>
              <w:left w:w="108" w:type="dxa"/>
              <w:bottom w:w="0" w:type="dxa"/>
              <w:right w:w="108" w:type="dxa"/>
            </w:tcMar>
            <w:hideMark/>
          </w:tcPr>
          <w:p w14:paraId="319245CE"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2</w:t>
            </w:r>
          </w:p>
        </w:tc>
      </w:tr>
      <w:tr w:rsidR="00AA3A5F" w:rsidRPr="00B25A22" w14:paraId="129F820B" w14:textId="77777777" w:rsidTr="007A68D5">
        <w:tc>
          <w:tcPr>
            <w:tcW w:w="1268" w:type="dxa"/>
            <w:tcMar>
              <w:top w:w="0" w:type="dxa"/>
              <w:left w:w="108" w:type="dxa"/>
              <w:bottom w:w="0" w:type="dxa"/>
              <w:right w:w="108" w:type="dxa"/>
            </w:tcMar>
            <w:hideMark/>
          </w:tcPr>
          <w:p w14:paraId="5A6F8B89" w14:textId="77777777" w:rsidR="00AA3A5F" w:rsidRPr="00B25A22" w:rsidRDefault="00AA3A5F" w:rsidP="008C6819">
            <w:pPr>
              <w:spacing w:line="300" w:lineRule="atLeast"/>
              <w:ind w:firstLine="22"/>
              <w:jc w:val="center"/>
              <w:rPr>
                <w:rFonts w:cs="Times New Roman"/>
                <w:lang w:val="cs-CZ"/>
              </w:rPr>
            </w:pPr>
            <w:r w:rsidRPr="00B25A22">
              <w:rPr>
                <w:rFonts w:cs="Times New Roman"/>
                <w:sz w:val="22"/>
                <w:lang w:val="cs-CZ"/>
              </w:rPr>
              <w:t>7. kolo</w:t>
            </w:r>
          </w:p>
        </w:tc>
        <w:tc>
          <w:tcPr>
            <w:tcW w:w="2975" w:type="dxa"/>
            <w:tcMar>
              <w:top w:w="0" w:type="dxa"/>
              <w:left w:w="108" w:type="dxa"/>
              <w:bottom w:w="0" w:type="dxa"/>
              <w:right w:w="108" w:type="dxa"/>
            </w:tcMar>
            <w:hideMark/>
          </w:tcPr>
          <w:p w14:paraId="0448F97D"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1</w:t>
            </w:r>
          </w:p>
        </w:tc>
        <w:tc>
          <w:tcPr>
            <w:tcW w:w="2410" w:type="dxa"/>
            <w:tcMar>
              <w:top w:w="0" w:type="dxa"/>
              <w:left w:w="108" w:type="dxa"/>
              <w:bottom w:w="0" w:type="dxa"/>
              <w:right w:w="108" w:type="dxa"/>
            </w:tcMar>
            <w:hideMark/>
          </w:tcPr>
          <w:p w14:paraId="7E97E767"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1</w:t>
            </w:r>
          </w:p>
        </w:tc>
        <w:tc>
          <w:tcPr>
            <w:tcW w:w="2167" w:type="dxa"/>
            <w:tcMar>
              <w:top w:w="0" w:type="dxa"/>
              <w:left w:w="108" w:type="dxa"/>
              <w:bottom w:w="0" w:type="dxa"/>
              <w:right w:w="108" w:type="dxa"/>
            </w:tcMar>
            <w:hideMark/>
          </w:tcPr>
          <w:p w14:paraId="2495670F" w14:textId="77777777" w:rsidR="00AA3A5F" w:rsidRPr="00B25A22" w:rsidRDefault="00AA3A5F" w:rsidP="008C6819">
            <w:pPr>
              <w:spacing w:line="300" w:lineRule="atLeast"/>
              <w:jc w:val="center"/>
              <w:rPr>
                <w:rFonts w:cs="Times New Roman"/>
                <w:lang w:val="cs-CZ"/>
              </w:rPr>
            </w:pPr>
            <w:r w:rsidRPr="00B25A22">
              <w:rPr>
                <w:rFonts w:cs="Times New Roman"/>
                <w:sz w:val="22"/>
                <w:lang w:val="cs-CZ"/>
              </w:rPr>
              <w:t>-</w:t>
            </w:r>
          </w:p>
        </w:tc>
      </w:tr>
      <w:tr w:rsidR="00AA3A5F" w:rsidRPr="00B25A22" w14:paraId="7885AE22" w14:textId="77777777" w:rsidTr="007A68D5">
        <w:tc>
          <w:tcPr>
            <w:tcW w:w="1268" w:type="dxa"/>
            <w:tcMar>
              <w:top w:w="0" w:type="dxa"/>
              <w:left w:w="108" w:type="dxa"/>
              <w:bottom w:w="0" w:type="dxa"/>
              <w:right w:w="108" w:type="dxa"/>
            </w:tcMar>
          </w:tcPr>
          <w:p w14:paraId="0C4CA070" w14:textId="77777777" w:rsidR="00AA3A5F" w:rsidRPr="00B25A22" w:rsidRDefault="00AA3A5F" w:rsidP="008C6819">
            <w:pPr>
              <w:spacing w:line="300" w:lineRule="atLeast"/>
              <w:ind w:firstLine="22"/>
              <w:jc w:val="center"/>
              <w:rPr>
                <w:rFonts w:cs="Times New Roman"/>
                <w:sz w:val="22"/>
                <w:lang w:val="cs-CZ"/>
              </w:rPr>
            </w:pPr>
            <w:r w:rsidRPr="00B25A22">
              <w:rPr>
                <w:rFonts w:cs="Times New Roman"/>
                <w:sz w:val="22"/>
                <w:lang w:val="cs-CZ"/>
              </w:rPr>
              <w:t>8. kolo</w:t>
            </w:r>
          </w:p>
        </w:tc>
        <w:tc>
          <w:tcPr>
            <w:tcW w:w="2975" w:type="dxa"/>
            <w:tcMar>
              <w:top w:w="0" w:type="dxa"/>
              <w:left w:w="108" w:type="dxa"/>
              <w:bottom w:w="0" w:type="dxa"/>
              <w:right w:w="108" w:type="dxa"/>
            </w:tcMar>
          </w:tcPr>
          <w:p w14:paraId="72B3A441" w14:textId="77777777" w:rsidR="00AA3A5F" w:rsidRPr="00B25A22" w:rsidRDefault="00AA3A5F" w:rsidP="008C6819">
            <w:pPr>
              <w:spacing w:line="300" w:lineRule="atLeast"/>
              <w:jc w:val="center"/>
              <w:rPr>
                <w:rFonts w:cs="Times New Roman"/>
                <w:sz w:val="22"/>
                <w:lang w:val="cs-CZ"/>
              </w:rPr>
            </w:pPr>
            <w:r w:rsidRPr="00B25A22">
              <w:rPr>
                <w:rFonts w:cs="Times New Roman"/>
                <w:sz w:val="22"/>
                <w:lang w:val="cs-CZ"/>
              </w:rPr>
              <w:t>1</w:t>
            </w:r>
          </w:p>
        </w:tc>
        <w:tc>
          <w:tcPr>
            <w:tcW w:w="2410" w:type="dxa"/>
            <w:tcMar>
              <w:top w:w="0" w:type="dxa"/>
              <w:left w:w="108" w:type="dxa"/>
              <w:bottom w:w="0" w:type="dxa"/>
              <w:right w:w="108" w:type="dxa"/>
            </w:tcMar>
          </w:tcPr>
          <w:p w14:paraId="70B13AF6" w14:textId="77777777" w:rsidR="00AA3A5F" w:rsidRPr="00B25A22" w:rsidRDefault="00AA3A5F" w:rsidP="008C6819">
            <w:pPr>
              <w:spacing w:line="300" w:lineRule="atLeast"/>
              <w:jc w:val="center"/>
              <w:rPr>
                <w:rFonts w:cs="Times New Roman"/>
                <w:sz w:val="22"/>
                <w:lang w:val="cs-CZ"/>
              </w:rPr>
            </w:pPr>
            <w:r w:rsidRPr="00B25A22">
              <w:rPr>
                <w:rFonts w:cs="Times New Roman"/>
                <w:sz w:val="22"/>
                <w:lang w:val="cs-CZ"/>
              </w:rPr>
              <w:t>-</w:t>
            </w:r>
          </w:p>
        </w:tc>
        <w:tc>
          <w:tcPr>
            <w:tcW w:w="2167" w:type="dxa"/>
            <w:tcMar>
              <w:top w:w="0" w:type="dxa"/>
              <w:left w:w="108" w:type="dxa"/>
              <w:bottom w:w="0" w:type="dxa"/>
              <w:right w:w="108" w:type="dxa"/>
            </w:tcMar>
          </w:tcPr>
          <w:p w14:paraId="5A2FD831" w14:textId="482BBBA1" w:rsidR="00AA3A5F" w:rsidRPr="00B25A22" w:rsidRDefault="004F1CE2" w:rsidP="008C6819">
            <w:pPr>
              <w:spacing w:line="300" w:lineRule="atLeast"/>
              <w:jc w:val="center"/>
              <w:rPr>
                <w:rFonts w:cs="Times New Roman"/>
                <w:sz w:val="22"/>
                <w:lang w:val="cs-CZ"/>
              </w:rPr>
            </w:pPr>
            <w:r>
              <w:rPr>
                <w:rFonts w:cs="Times New Roman"/>
                <w:sz w:val="22"/>
                <w:lang w:val="cs-CZ"/>
              </w:rPr>
              <w:t>1</w:t>
            </w:r>
          </w:p>
        </w:tc>
      </w:tr>
      <w:tr w:rsidR="00AA3A5F" w:rsidRPr="00B25A22" w14:paraId="09B6C0A1" w14:textId="77777777" w:rsidTr="007A68D5">
        <w:tc>
          <w:tcPr>
            <w:tcW w:w="1268" w:type="dxa"/>
            <w:tcMar>
              <w:top w:w="0" w:type="dxa"/>
              <w:left w:w="108" w:type="dxa"/>
              <w:bottom w:w="0" w:type="dxa"/>
              <w:right w:w="108" w:type="dxa"/>
            </w:tcMar>
          </w:tcPr>
          <w:p w14:paraId="3B76427E" w14:textId="77777777" w:rsidR="00AA3A5F" w:rsidRPr="00B25A22" w:rsidRDefault="00AA3A5F" w:rsidP="008C6819">
            <w:pPr>
              <w:spacing w:line="300" w:lineRule="atLeast"/>
              <w:ind w:firstLine="22"/>
              <w:jc w:val="center"/>
              <w:rPr>
                <w:rFonts w:cs="Times New Roman"/>
                <w:sz w:val="22"/>
                <w:lang w:val="cs-CZ"/>
              </w:rPr>
            </w:pPr>
            <w:r w:rsidRPr="00B25A22">
              <w:rPr>
                <w:rFonts w:cs="Times New Roman"/>
                <w:sz w:val="22"/>
                <w:lang w:val="cs-CZ"/>
              </w:rPr>
              <w:t>9. kolo</w:t>
            </w:r>
          </w:p>
        </w:tc>
        <w:tc>
          <w:tcPr>
            <w:tcW w:w="2975" w:type="dxa"/>
            <w:tcMar>
              <w:top w:w="0" w:type="dxa"/>
              <w:left w:w="108" w:type="dxa"/>
              <w:bottom w:w="0" w:type="dxa"/>
              <w:right w:w="108" w:type="dxa"/>
            </w:tcMar>
          </w:tcPr>
          <w:p w14:paraId="42E1A43B" w14:textId="77777777" w:rsidR="00AA3A5F" w:rsidRPr="00B25A22" w:rsidRDefault="00AA3A5F" w:rsidP="008C6819">
            <w:pPr>
              <w:spacing w:line="300" w:lineRule="atLeast"/>
              <w:jc w:val="center"/>
              <w:rPr>
                <w:rFonts w:cs="Times New Roman"/>
                <w:sz w:val="22"/>
                <w:lang w:val="cs-CZ"/>
              </w:rPr>
            </w:pPr>
            <w:r w:rsidRPr="00B25A22">
              <w:rPr>
                <w:rFonts w:cs="Times New Roman"/>
                <w:sz w:val="22"/>
                <w:lang w:val="cs-CZ"/>
              </w:rPr>
              <w:t>4</w:t>
            </w:r>
          </w:p>
        </w:tc>
        <w:tc>
          <w:tcPr>
            <w:tcW w:w="2410" w:type="dxa"/>
            <w:tcMar>
              <w:top w:w="0" w:type="dxa"/>
              <w:left w:w="108" w:type="dxa"/>
              <w:bottom w:w="0" w:type="dxa"/>
              <w:right w:w="108" w:type="dxa"/>
            </w:tcMar>
          </w:tcPr>
          <w:p w14:paraId="656637B5" w14:textId="0008EDC2" w:rsidR="00AA3A5F" w:rsidRPr="00B25A22" w:rsidRDefault="004F1CE2" w:rsidP="008C6819">
            <w:pPr>
              <w:spacing w:line="300" w:lineRule="atLeast"/>
              <w:jc w:val="center"/>
              <w:rPr>
                <w:rFonts w:cs="Times New Roman"/>
                <w:sz w:val="22"/>
                <w:lang w:val="cs-CZ"/>
              </w:rPr>
            </w:pPr>
            <w:r>
              <w:rPr>
                <w:rFonts w:cs="Times New Roman"/>
                <w:sz w:val="22"/>
                <w:lang w:val="cs-CZ"/>
              </w:rPr>
              <w:t>4</w:t>
            </w:r>
          </w:p>
        </w:tc>
        <w:tc>
          <w:tcPr>
            <w:tcW w:w="2167" w:type="dxa"/>
            <w:tcMar>
              <w:top w:w="0" w:type="dxa"/>
              <w:left w:w="108" w:type="dxa"/>
              <w:bottom w:w="0" w:type="dxa"/>
              <w:right w:w="108" w:type="dxa"/>
            </w:tcMar>
          </w:tcPr>
          <w:p w14:paraId="1D741783" w14:textId="77777777" w:rsidR="00AA3A5F" w:rsidRPr="00B25A22" w:rsidRDefault="00AA3A5F" w:rsidP="008C6819">
            <w:pPr>
              <w:spacing w:line="300" w:lineRule="atLeast"/>
              <w:jc w:val="center"/>
              <w:rPr>
                <w:rFonts w:cs="Times New Roman"/>
                <w:sz w:val="22"/>
                <w:lang w:val="cs-CZ"/>
              </w:rPr>
            </w:pPr>
            <w:r w:rsidRPr="00B25A22">
              <w:rPr>
                <w:rFonts w:cs="Times New Roman"/>
                <w:sz w:val="22"/>
                <w:lang w:val="cs-CZ"/>
              </w:rPr>
              <w:t>-</w:t>
            </w:r>
          </w:p>
        </w:tc>
      </w:tr>
    </w:tbl>
    <w:p w14:paraId="43089144" w14:textId="77777777" w:rsidR="00AA3A5F" w:rsidRPr="008C6819" w:rsidRDefault="00AA3A5F" w:rsidP="008C6819">
      <w:pPr>
        <w:pStyle w:val="UZEIZdroj"/>
        <w:rPr>
          <w:rStyle w:val="Siln"/>
          <w:b w:val="0"/>
          <w:bCs w:val="0"/>
        </w:rPr>
      </w:pPr>
      <w:r w:rsidRPr="008C6819">
        <w:rPr>
          <w:rStyle w:val="Siln"/>
          <w:b w:val="0"/>
          <w:bCs w:val="0"/>
        </w:rPr>
        <w:t>Poznámka: U žádostí 8. a 9. kola nebyla dosud dokončena administrace žádostí o dotaci.</w:t>
      </w:r>
    </w:p>
    <w:p w14:paraId="3AB9C10F" w14:textId="77777777" w:rsidR="00AA3A5F" w:rsidRPr="008C6819" w:rsidRDefault="00AA3A5F" w:rsidP="008C6819">
      <w:pPr>
        <w:pStyle w:val="UZEIZdroj"/>
        <w:rPr>
          <w:rStyle w:val="Siln"/>
          <w:b w:val="0"/>
          <w:bCs w:val="0"/>
        </w:rPr>
      </w:pPr>
      <w:r w:rsidRPr="008C6819">
        <w:rPr>
          <w:rStyle w:val="Siln"/>
          <w:b w:val="0"/>
          <w:bCs w:val="0"/>
        </w:rPr>
        <w:t>Pramen: SZIF</w:t>
      </w:r>
    </w:p>
    <w:p w14:paraId="033030BF" w14:textId="359DAE25" w:rsidR="00AA3A5F" w:rsidRPr="00B25A22" w:rsidRDefault="00AA3A5F" w:rsidP="008C6819">
      <w:pPr>
        <w:pStyle w:val="UZEINormaln"/>
        <w:rPr>
          <w:color w:val="1F497D"/>
        </w:rPr>
      </w:pPr>
      <w:r w:rsidRPr="00B25A22">
        <w:rPr>
          <w:rFonts w:eastAsia="Calibri"/>
        </w:rPr>
        <w:t>Mezi důvody ukončení administrace Žádostí o dotaci patří dle SZIF nesplnění účelu a rozsahu operace, nesplnění podmínky nezávislosti subjektů, odstoupení ze strany žadatele, nedoložení povinných příloh, popř. neodstranění zjištěných nedostatků ve stanoveném termínu, pozdní podpis smlouvy o spolupráci.</w:t>
      </w:r>
      <w:r w:rsidR="001E17E8">
        <w:rPr>
          <w:rFonts w:eastAsia="Calibri"/>
        </w:rPr>
        <w:t xml:space="preserve"> </w:t>
      </w:r>
      <w:r w:rsidRPr="00B25A22">
        <w:rPr>
          <w:rFonts w:eastAsia="Calibri"/>
        </w:rPr>
        <w:t>Dle informace SZIF lze pouze vyjádřit domněnku, že důvodem nízkého zájmu jsou komplikované a nejasné podmínky operace. Zároveň forma spolupráce stanovená podmínkami Pravidel není vhodná pro zdejší podnikatelské prostředí</w:t>
      </w:r>
      <w:r w:rsidRPr="00B25A22">
        <w:rPr>
          <w:rStyle w:val="Znakapoznpodarou"/>
          <w:rFonts w:eastAsia="Calibri"/>
        </w:rPr>
        <w:footnoteReference w:id="20"/>
      </w:r>
      <w:r w:rsidRPr="00B25A22">
        <w:rPr>
          <w:rFonts w:eastAsia="Calibri"/>
        </w:rPr>
        <w:t>.</w:t>
      </w:r>
    </w:p>
    <w:p w14:paraId="6ACAD01F" w14:textId="4E672E9A" w:rsidR="00AA3A5F" w:rsidRPr="00B25A22" w:rsidRDefault="00AA3A5F" w:rsidP="008C6819">
      <w:pPr>
        <w:pStyle w:val="UZEINormaln"/>
        <w:rPr>
          <w:szCs w:val="22"/>
        </w:rPr>
      </w:pPr>
      <w:r w:rsidRPr="00B25A22">
        <w:rPr>
          <w:szCs w:val="22"/>
        </w:rPr>
        <w:t xml:space="preserve">Nečerpání podpor však neznamená neexistenci spolupráce. Dle jednání zástupců ÚZEI s vedením Asociace soukromých zemědělců dne 21. 2. 2019 je žádoucí tuto intervenci zachovat. Dle ASZ je toto opatření dobré, a bylo by vhodné v něm pokračovat i v následujícím období bez výrazných změn. Dle ASZ vhodně navazuje na operaci 4.2.1 Zpracování a uvádění na trh zemědělských produktů. Jako důvod, proč nebyl o operaci 16.4.1 ve stávajícím období zájem, představitel ASZ uvádí, že nejsou k dispozici žádná data, z nichž by bylo zřejmé, proč členové ASZ zatím o toto opatření nejeví masivní zájem, nicméně dle jeho názoru je to pravděpodobně tím, že se zemědělci zaměřili zatím čerpat z jiných operací, a domnívá se, že až v ostatních operacích bude vyčerpáno, nebo v nich bude alokováno jen malé množství prostředků, obrátí zemědělci pozornost i na opatření 16.4.1. Dle ÚZEI může nedostatečné využívání spočívat v nedostatečné informovanosti či v náročnosti na administrativu. Tyto </w:t>
      </w:r>
      <w:r w:rsidRPr="00B25A22">
        <w:rPr>
          <w:szCs w:val="22"/>
        </w:rPr>
        <w:lastRenderedPageBreak/>
        <w:t xml:space="preserve">bariéry by bylo možné zmírnit intenzivnější osvětou o podpoře „Spolupráce“ a např. zahrnutí do intervencí v rámci skupiny Poradenství. </w:t>
      </w:r>
    </w:p>
    <w:p w14:paraId="019F3313" w14:textId="77777777" w:rsidR="00AA3A5F" w:rsidRPr="00B25A22" w:rsidRDefault="00AA3A5F" w:rsidP="008C6819">
      <w:pPr>
        <w:pStyle w:val="UZEINormaln"/>
      </w:pPr>
      <w:r w:rsidRPr="00B25A22">
        <w:rPr>
          <w:b/>
        </w:rPr>
        <w:t xml:space="preserve">Stávající operace 4.2.1 Zpracování a uvádění na trh zemědělských produktů </w:t>
      </w:r>
      <w:r w:rsidRPr="00B25A22">
        <w:t>vykazuje k 30. 6. 2019 41% využití. Na operaci byla stanovena cílová hodnota 770 podpořených zemědělských podniků. Podle průběžného hodnocení PRV 2014-20 k 30. 6. 2018 (</w:t>
      </w:r>
      <w:proofErr w:type="spellStart"/>
      <w:r w:rsidRPr="00B25A22">
        <w:t>Naviga</w:t>
      </w:r>
      <w:proofErr w:type="spellEnd"/>
      <w:r w:rsidRPr="00B25A22">
        <w:t xml:space="preserve">, 2018, a) bylo v rámci této operace </w:t>
      </w:r>
      <w:proofErr w:type="spellStart"/>
      <w:r w:rsidRPr="00B25A22">
        <w:t>závazkováno</w:t>
      </w:r>
      <w:proofErr w:type="spellEnd"/>
      <w:r w:rsidRPr="00B25A22">
        <w:t xml:space="preserve"> k 30. 6. 2019 656 projektů a proplaceno 359 projektů. Z tohoto počtu jich bylo realizováno 171 zemědělskými a 188 zpracovatelskými podniky. Zatímco mezi zemědělskými podniky převládají fyzické osoby, kategorie zpracovatelských podniků je dominována (80 %) právnickými osobami. Zatímco největší část zemědělských podniků jsou mikropodniky (60 %), u zpracovatelských se jedná o podniky střední velikosti (48 %). Podniky, které realizovaly projekty, a které již byly proplaceny, představují 2,6 % všech potravinářských podniků, přičemž cílová hodnota jsou 4 %. Počet potravinářských podniků, u kterých došlo k podpisu Dohody o poskytnutí dotace (325), představuje již 4,5 % potravinářských podniků. S ohledem na úspěšnost operace lze počítat s pokračováním operace i v dalším období SZP.</w:t>
      </w:r>
    </w:p>
    <w:p w14:paraId="5377030B" w14:textId="77777777" w:rsidR="00AA3A5F" w:rsidRPr="00B25A22" w:rsidRDefault="00AA3A5F" w:rsidP="008C6819">
      <w:pPr>
        <w:pStyle w:val="UZEINormaln"/>
      </w:pPr>
      <w:r w:rsidRPr="00B25A22">
        <w:t xml:space="preserve">Další opatření na podporu postavení zemědělců ve vertikále jsou ve stávající podobě SZP směrována do vybraných odvětví formou podpory Operačních programů. S uvedenou podporou, dokonce v rozšířené verzi, počítá i „Nařízení“ pro budoucí nastavení SZP. </w:t>
      </w:r>
    </w:p>
    <w:p w14:paraId="17BC9E1B" w14:textId="77777777" w:rsidR="00AA3A5F" w:rsidRPr="00B25A22" w:rsidRDefault="00AA3A5F" w:rsidP="008C6819">
      <w:pPr>
        <w:pStyle w:val="UZEINormaln"/>
      </w:pPr>
      <w:r w:rsidRPr="00B25A22">
        <w:rPr>
          <w:b/>
        </w:rPr>
        <w:t xml:space="preserve">Vyhodnocení využití stávajících podpor v rámci Operačních programů v odvětví </w:t>
      </w:r>
      <w:r w:rsidRPr="00B25A22">
        <w:rPr>
          <w:b/>
          <w:caps/>
        </w:rPr>
        <w:t>ovoce a zelenina</w:t>
      </w:r>
      <w:r w:rsidRPr="00B25A22">
        <w:t xml:space="preserve"> je podrobněji uvedeno v kapitole 6 a v příloze 1 této analýzy. První hodnocení bylo provedeno v roce 2012 za období let 2009 až 2011 a druhé hodnocení z roku 2014 za období let 2012 a 2013, hodnocení za roky 2015-2019 probíhá v letošním roce.</w:t>
      </w:r>
      <w:r w:rsidRPr="00B25A22">
        <w:rPr>
          <w:u w:val="single"/>
        </w:rPr>
        <w:t xml:space="preserve"> Od roku 2009 se postupně zvyšuje podíl produkce uváděné OP na trh.</w:t>
      </w:r>
      <w:r w:rsidRPr="00B25A22">
        <w:t xml:space="preserve"> V roce 2017 byl podíl 39,17 %, tj. nárůst o 72,8 % od průměru let 2009-11, v roce 2018 byl podíl 43,6 %, tj. nárůst o 92,1 % od průměru. Dále dochází v průběhu let k nárůstu produkční plochy zapojené do OP. </w:t>
      </w:r>
      <w:r w:rsidRPr="00B25A22">
        <w:rPr>
          <w:u w:val="single"/>
        </w:rPr>
        <w:t xml:space="preserve">Jednotková produkce (Kč/t) se ve sledovaném období zvyšovala (více než v </w:t>
      </w:r>
      <w:r w:rsidRPr="00B25A22">
        <w:t>odvětví celkem</w:t>
      </w:r>
      <w:r w:rsidRPr="00B25A22">
        <w:rPr>
          <w:u w:val="single"/>
        </w:rPr>
        <w:t>)</w:t>
      </w:r>
      <w:r w:rsidRPr="00B25A22">
        <w:t xml:space="preserve">, průměr roku </w:t>
      </w:r>
      <w:proofErr w:type="gramStart"/>
      <w:r w:rsidRPr="00B25A22">
        <w:t>2009 – 2011</w:t>
      </w:r>
      <w:proofErr w:type="gramEnd"/>
      <w:r w:rsidRPr="00B25A22">
        <w:t xml:space="preserve"> byl 8 303,4 Kč/t a v roce 2017 to bylo již 11 471,0 Kč/t a v roce 2018 to bylo 11 232,0 Kč/t. Největší objem finančních prostředků směroval do Opatření č. 2 Kvalita produkce a Opatření č. 3 Odbyt produkce. Odvětvové intervence v tomto odvětví budou v období 2021+ povinné, proto v nich bude pokračováno. Vymezení nové podoby bude provedeno v rámci pracovní skupiny složené z delegátů odvětví, MZe a ÚZEI.    </w:t>
      </w:r>
    </w:p>
    <w:p w14:paraId="3A0A4056" w14:textId="77777777" w:rsidR="00AA3A5F" w:rsidRPr="00B25A22" w:rsidRDefault="00AA3A5F" w:rsidP="008C6819">
      <w:pPr>
        <w:pStyle w:val="UZEINormaln"/>
      </w:pPr>
      <w:r w:rsidRPr="00B25A22">
        <w:rPr>
          <w:b/>
        </w:rPr>
        <w:t xml:space="preserve">Vyhodnocení využití stávajících podpor v rámci Operačního programu v odvětví </w:t>
      </w:r>
      <w:r w:rsidRPr="00B25A22">
        <w:rPr>
          <w:b/>
          <w:caps/>
        </w:rPr>
        <w:t>vína</w:t>
      </w:r>
      <w:r w:rsidRPr="00B25A22">
        <w:rPr>
          <w:b/>
        </w:rPr>
        <w:t xml:space="preserve"> </w:t>
      </w:r>
      <w:r w:rsidRPr="00B25A22">
        <w:t xml:space="preserve">je podrobněji uvedeno v kapitole 6 a v příloze 2 této analýzy. Aktuální vyhodnocení celého období je za roky 2014-2018. Rok 2019 je vyhodnocen zvlášť jako první rok nového hodnoceného období. V rámci OPR bylo možné čerpat v období 2014-2018 dotace na „Restrukturalizaci“ (80 % z celkové vyplacené částky za sledované období) a „Investice“ (20 % z celkové vyplacené částky za sledované období). U „Restrukturalizace“ byl nejvíce využíván titul „Změna odrůdové skladby“ (84 % z vyplacené částky na opatření „Restrukturalizace“). U „Investic“ byly nejvíce využity tituly „Speciální kvasná nádoba s aktivním potápěním matolinového klobouku pro výrobu červených vín“ a „Dřevěný sud/dřevěná nádoba s objemem minimálně 600 l“. Naopak zcela nevyužit byl titul „Přesun vinice do svahu“. V roce 2019 byl poměr vyplacených částek 70 % pro „Restrukturalizaci a 30 % pro „Investice“ (celkem vyplaceno 130 995,8 tis. Kč). V rámci „Restrukturalizace“ došlo v roce 2019 k využití všech titulů. Nejvíce byl opět využíván titul „Změna odrůdové skladby“. U „Investic“ byl co do počtu pořízených kusů nejvíce využit titul „Pořízení dřevěného sudu nebo uzavřené dřevěné nádoby na výrobu vína o objemu nejméně 600 l“. Odvětvové intervence jsou v tomto odvětví pro období 2021+ povinné, proto v nich bude pokračováno. Vymezení nové podoby bude provedeno v rámci pracovní skupiny složené z delegátů odvětví, MZe a ÚZEI.  </w:t>
      </w:r>
    </w:p>
    <w:p w14:paraId="3652E481" w14:textId="77777777" w:rsidR="00AA3A5F" w:rsidRPr="00B25A22" w:rsidRDefault="00AA3A5F" w:rsidP="008C6819">
      <w:pPr>
        <w:pStyle w:val="UZEINormaln"/>
      </w:pPr>
      <w:r w:rsidRPr="00B25A22">
        <w:lastRenderedPageBreak/>
        <w:t xml:space="preserve">Vyhodnocení využití stávajících podpor v rámci včelařských programů je podrobněji uvedeno v příloze 3 této analýzy. Program na podporu chovu včel je v České republice zaveden již více než deset let a bude povinný i v nadcházejícím programovém období. Poslední uzavřené tříleté období Českého včelařského programu bylo za roky 2017-2019. Od 1. 8. 2019 bylo zahájeno nové tříleté období programu. Na celé období je vyčleněna částka  193 024 779 Kč, kdy 50 % je financováno z prostředků EU a 50 % z prostředků ČR. Program má 5 cílů, kterých se snaží dosáhnout pěti různými opatřeními. Těmi jsou A-Technická pomoc, B-Kontrola a boj proti varroáze, C-Racionalizace kočování včelstev, D-Analýzy medu a E-Obnova včelstev. Pro další opatření F-H není na období, na které je program určen, naplánována jejich aktivita. </w:t>
      </w:r>
    </w:p>
    <w:p w14:paraId="25150AB9" w14:textId="77777777" w:rsidR="00AA3A5F" w:rsidRPr="00B25A22" w:rsidRDefault="00AA3A5F" w:rsidP="008C6819">
      <w:pPr>
        <w:pStyle w:val="UZEINormaln"/>
      </w:pPr>
      <w:r w:rsidRPr="00B25A22">
        <w:t>Podpora uvedených tří sektorů (ovoce a zelenina, víno a včelařství) je v návrhu „Nařízení“ pro SZP 2021+ definována jako povinná. Tedy bude zachována. Nově je však možno využít odvětvových intervencí i v dalších sektorech. Úprava podmínek je v návrhu Nařízení z 1. června 2019 v čl. 39 až 63 ve znění pozdějších úprav. Principálně se jedná o možnost vyčlenění až 3 % národní obálky pro přímé platby na podporu vybraných (nepovinných) sektorů. Příjemcem podpory je uznaná organizace producentů nebo sdružení organizací producentů (podle Nařízení Evropského parlamentu a Rady (EU) 1308/2013) se schváleným operačním programem.  Stávající situace, jak jsou vybraná odvětví organizována, a jaký by mohl být potenciál využití odvětvových intervencí, jsou popsány níže.</w:t>
      </w:r>
    </w:p>
    <w:p w14:paraId="3349173A" w14:textId="77777777" w:rsidR="00AA3A5F" w:rsidRPr="00B25A22" w:rsidRDefault="00AA3A5F" w:rsidP="008C6819">
      <w:pPr>
        <w:pStyle w:val="UZEINormaln"/>
      </w:pPr>
      <w:r w:rsidRPr="00B25A22">
        <w:t>Nově navrhované podpory v „Nařízení“: Odvětvové intervence pro vybraná (nepovinná) odvětví</w:t>
      </w:r>
    </w:p>
    <w:p w14:paraId="160CD281" w14:textId="77777777" w:rsidR="00AA3A5F" w:rsidRPr="00B25A22" w:rsidRDefault="00AA3A5F" w:rsidP="008C6819">
      <w:pPr>
        <w:pStyle w:val="UZEINormaln"/>
        <w:rPr>
          <w:rFonts w:eastAsia="Calibri"/>
        </w:rPr>
      </w:pPr>
      <w:r w:rsidRPr="00B25A22">
        <w:rPr>
          <w:rFonts w:eastAsia="Calibri"/>
        </w:rPr>
        <w:t>V rámci jednání Pracovní skupiny SOT pro přípravu SZP 2021+ byly vytipovány komodity, pro něž je žádoucí prověřit, zda by případné směrování odvětvových intervencí (OI) do daných sektorů mělo kladnou odezvu zemědělců, a zda se v těchto sektorech předpokládá jejich využití. Do přehledu situace nebyla zařazena komodita brambory, neboť návrh „Nařízení“ prozatím neumožňuje její podporu formou odvětvových intervencí.</w:t>
      </w:r>
    </w:p>
    <w:p w14:paraId="04F46ED1" w14:textId="77777777" w:rsidR="00AA3A5F" w:rsidRPr="00B25A22" w:rsidRDefault="00AA3A5F" w:rsidP="008C6819">
      <w:pPr>
        <w:pStyle w:val="UZEINormaln"/>
        <w:rPr>
          <w:rFonts w:eastAsia="Calibri"/>
        </w:rPr>
      </w:pPr>
      <w:r w:rsidRPr="00B25A22">
        <w:rPr>
          <w:rFonts w:eastAsia="Calibri"/>
        </w:rPr>
        <w:t xml:space="preserve">S ohledem na to, že příjemcem odvětvových intervencí mohou být podle návrhu Nařízení Evropského parlamentu a Rady, kterým se stanoví pravidla podpory pro strategické plány ve znění platném k 31. 1. 2019 jen organizace producentů (OP)a sdružení organizací producentů (SOP) uznané podle </w:t>
      </w:r>
      <w:r w:rsidRPr="00B25A22">
        <w:t>Nařízení Evropského parlamentu a Rady EU (EU) č. 1308/20013, byly zmapovány stávající uznané OP a odhadován potenciál stávajících a případných nových OP k čerpání podpor formou OI.</w:t>
      </w:r>
    </w:p>
    <w:p w14:paraId="304BF422" w14:textId="77777777" w:rsidR="00AA3A5F" w:rsidRPr="00B25A22" w:rsidRDefault="00AA3A5F" w:rsidP="008C6819">
      <w:pPr>
        <w:pStyle w:val="UZEINormaln"/>
      </w:pPr>
      <w:r w:rsidRPr="00B25A22">
        <w:rPr>
          <w:rFonts w:eastAsia="Calibri"/>
        </w:rPr>
        <w:t xml:space="preserve">Přehled uznaných OP a MO k 31. 1. 2019 a jejich podíl na tržbách odvětví je uveden v tabulce 1. </w:t>
      </w:r>
      <w:r w:rsidRPr="00B25A22">
        <w:t xml:space="preserve">Tabulka uvádí základní tržby odvětví, ve kterých fungují uznané OP, podíly uznaných OP na tržbách odvětví a současně vyčísluje 4,1 % z tržeb uznaných OP, resp. 5 %. Zdroj dat pro výpočet tržeb OP je uveden pod tabulkou. Navíc jsou do tabulky zahrnuta odvětví, ve kterých nejsou k 31. 1. 2019 OP uznány, ale odvětví byla v rámci pracovní skupiny Konkurenceschopnost zařazena do výběru potenciálních uživatelů odvětvových intervencí. Přehled potvrzuje stávající nejvyšší organizovanost v odvětví mléka a vysokou organizovanost v odvětví OZEL a vejce. </w:t>
      </w:r>
    </w:p>
    <w:p w14:paraId="6CE19CA2" w14:textId="77777777" w:rsidR="00AA3A5F" w:rsidRPr="00B25A22" w:rsidRDefault="00AA3A5F" w:rsidP="008C6819">
      <w:pPr>
        <w:pStyle w:val="UZEINormaln"/>
        <w:rPr>
          <w:rFonts w:eastAsia="Calibri"/>
        </w:rPr>
      </w:pPr>
      <w:r w:rsidRPr="00B25A22">
        <w:rPr>
          <w:rFonts w:eastAsia="Calibri"/>
        </w:rPr>
        <w:t xml:space="preserve">Odhad potenciálu využití odvětvových intervencí (OI) lze uvažovat v intencích několika scénářů. </w:t>
      </w:r>
    </w:p>
    <w:p w14:paraId="2642DC5A" w14:textId="77777777" w:rsidR="00AA3A5F" w:rsidRPr="008C6819" w:rsidRDefault="00AA3A5F" w:rsidP="00FF7FB8">
      <w:pPr>
        <w:pStyle w:val="Odstavecseseznamem"/>
        <w:numPr>
          <w:ilvl w:val="0"/>
          <w:numId w:val="26"/>
        </w:numPr>
        <w:spacing w:before="120" w:after="120" w:line="240" w:lineRule="auto"/>
      </w:pPr>
      <w:r w:rsidRPr="008C6819">
        <w:t>Stávající počet OP se nezmění.</w:t>
      </w:r>
    </w:p>
    <w:p w14:paraId="6E0C38F1" w14:textId="77777777" w:rsidR="00AA3A5F" w:rsidRPr="008C6819" w:rsidRDefault="00AA3A5F" w:rsidP="00FF7FB8">
      <w:pPr>
        <w:pStyle w:val="Odstavecseseznamem"/>
        <w:numPr>
          <w:ilvl w:val="0"/>
          <w:numId w:val="27"/>
        </w:numPr>
        <w:spacing w:before="120" w:after="120" w:line="240" w:lineRule="auto"/>
      </w:pPr>
      <w:r w:rsidRPr="008C6819">
        <w:t xml:space="preserve">Stávající OP sestaví OPR v rozsahu stávající členské základny.  </w:t>
      </w:r>
    </w:p>
    <w:p w14:paraId="65F163FE" w14:textId="77777777" w:rsidR="00AA3A5F" w:rsidRPr="008C6819" w:rsidRDefault="00AA3A5F" w:rsidP="00FF7FB8">
      <w:pPr>
        <w:pStyle w:val="Odstavecseseznamem"/>
        <w:numPr>
          <w:ilvl w:val="0"/>
          <w:numId w:val="27"/>
        </w:numPr>
        <w:spacing w:before="120" w:after="120" w:line="240" w:lineRule="auto"/>
      </w:pPr>
      <w:r w:rsidRPr="008C6819">
        <w:t>Stávající OP sestaví OPR a OP se rozšíří o nové členy (kteří vstoupí zejména z důvodu zájmu o podporu).</w:t>
      </w:r>
    </w:p>
    <w:p w14:paraId="7895FD95" w14:textId="77777777" w:rsidR="00AA3A5F" w:rsidRPr="008C6819" w:rsidRDefault="00AA3A5F" w:rsidP="00FF7FB8">
      <w:pPr>
        <w:pStyle w:val="Odstavecseseznamem"/>
        <w:numPr>
          <w:ilvl w:val="0"/>
          <w:numId w:val="27"/>
        </w:numPr>
        <w:spacing w:before="120" w:after="120" w:line="240" w:lineRule="auto"/>
      </w:pPr>
      <w:r w:rsidRPr="008C6819">
        <w:t xml:space="preserve">Jen část OP sestaví OPR.  </w:t>
      </w:r>
    </w:p>
    <w:p w14:paraId="2D2E3611" w14:textId="77777777" w:rsidR="00AA3A5F" w:rsidRPr="008C6819" w:rsidRDefault="00AA3A5F" w:rsidP="00FF7FB8">
      <w:pPr>
        <w:pStyle w:val="Odstavecseseznamem"/>
        <w:numPr>
          <w:ilvl w:val="0"/>
          <w:numId w:val="26"/>
        </w:numPr>
        <w:spacing w:before="120" w:after="120" w:line="240" w:lineRule="auto"/>
      </w:pPr>
      <w:r w:rsidRPr="008C6819">
        <w:t>Vzniknou nové OP (zejména s cílem čerpat OPR).</w:t>
      </w:r>
    </w:p>
    <w:p w14:paraId="60DCE43E" w14:textId="77777777" w:rsidR="00AA3A5F" w:rsidRPr="008C6819" w:rsidRDefault="00AA3A5F" w:rsidP="00FF7FB8">
      <w:pPr>
        <w:pStyle w:val="Odstavecseseznamem"/>
        <w:numPr>
          <w:ilvl w:val="0"/>
          <w:numId w:val="26"/>
        </w:numPr>
        <w:spacing w:before="120" w:after="120" w:line="240" w:lineRule="auto"/>
        <w:ind w:left="714" w:hanging="357"/>
      </w:pPr>
      <w:r w:rsidRPr="008C6819">
        <w:lastRenderedPageBreak/>
        <w:t>Část OP zanikne (např. nesplněním podmínek pro uznání).</w:t>
      </w:r>
    </w:p>
    <w:p w14:paraId="152D15F6" w14:textId="77777777" w:rsidR="00AA3A5F" w:rsidRPr="00B25A22" w:rsidRDefault="00AA3A5F" w:rsidP="00FF7FB8">
      <w:pPr>
        <w:pStyle w:val="UZEINormaln"/>
        <w:rPr>
          <w:rFonts w:eastAsia="Calibri"/>
        </w:rPr>
      </w:pPr>
      <w:r w:rsidRPr="00B25A22">
        <w:rPr>
          <w:rFonts w:eastAsia="Calibri"/>
        </w:rPr>
        <w:t>Odhad reakce jednotlivých odvětví byl konzultován se zástupci svazů a zástupci významných OP a expertně posouzen pracovníky ÚZEI.  Vyjádření probíhalo za následujících podmínek nejistoty:</w:t>
      </w:r>
    </w:p>
    <w:p w14:paraId="7DB0465F" w14:textId="77777777" w:rsidR="00AA3A5F" w:rsidRPr="00B25A22" w:rsidRDefault="00AA3A5F" w:rsidP="00FF7FB8">
      <w:pPr>
        <w:pStyle w:val="UZEIOdrky"/>
      </w:pPr>
      <w:r w:rsidRPr="00B25A22">
        <w:t>Není zřejmý budoucí vývoj ekonomického prostředí.</w:t>
      </w:r>
    </w:p>
    <w:p w14:paraId="6E8899B4" w14:textId="77777777" w:rsidR="00AA3A5F" w:rsidRPr="00B25A22" w:rsidRDefault="00AA3A5F" w:rsidP="00FF7FB8">
      <w:pPr>
        <w:pStyle w:val="UZEIOdrky"/>
      </w:pPr>
      <w:r w:rsidRPr="00B25A22">
        <w:t xml:space="preserve">Není zřejmé, zda či v jaké míře budou zachovány stávající VCS a národní podpory směřující na konkrétní odvětví. </w:t>
      </w:r>
    </w:p>
    <w:p w14:paraId="097D7D83" w14:textId="77777777" w:rsidR="00AA3A5F" w:rsidRPr="00B25A22" w:rsidRDefault="00AA3A5F" w:rsidP="00FF7FB8">
      <w:pPr>
        <w:pStyle w:val="UZEIOdrky"/>
      </w:pPr>
      <w:r w:rsidRPr="00B25A22">
        <w:t xml:space="preserve">Požadavky na operační programy nejsou detailně rozpracovány a nejsou zřejmé případné uznatelné náklady. </w:t>
      </w:r>
    </w:p>
    <w:p w14:paraId="2E44CC74" w14:textId="77777777" w:rsidR="00AA3A5F" w:rsidRPr="00B25A22" w:rsidRDefault="00AA3A5F" w:rsidP="00FF7FB8">
      <w:pPr>
        <w:pStyle w:val="UZEIOdrky"/>
      </w:pPr>
      <w:r w:rsidRPr="00B25A22">
        <w:t xml:space="preserve">V době konzultací s profesními svazy a zástupci OP panovala nejistota ohledně účasti producentů, kteří jsou součástí </w:t>
      </w:r>
      <w:proofErr w:type="spellStart"/>
      <w:r w:rsidRPr="00B25A22">
        <w:t>agroholdingu</w:t>
      </w:r>
      <w:proofErr w:type="spellEnd"/>
      <w:r w:rsidRPr="00B25A22">
        <w:t xml:space="preserve">. V průběhu konzultací jsme dostali vyjádření SZIF, který situaci vyjasnil, ovšem návazně vznikly další otázky, jež budou muset být zodpovězeny. </w:t>
      </w:r>
    </w:p>
    <w:p w14:paraId="20644B05" w14:textId="77777777" w:rsidR="00AA3A5F" w:rsidRPr="00B25A22" w:rsidRDefault="00AA3A5F" w:rsidP="005A396B">
      <w:pPr>
        <w:pStyle w:val="UZEINormaln"/>
        <w:rPr>
          <w:rFonts w:eastAsia="Calibri"/>
        </w:rPr>
      </w:pPr>
      <w:r w:rsidRPr="00B25A22">
        <w:rPr>
          <w:rFonts w:eastAsia="Calibri"/>
          <w:b/>
        </w:rPr>
        <w:t>Odhad potenciálu využití OI je uveden v tabulce 14 a komentován v tabulce 15.</w:t>
      </w:r>
      <w:r w:rsidRPr="00B25A22">
        <w:rPr>
          <w:rFonts w:eastAsia="Calibri"/>
        </w:rPr>
        <w:t xml:space="preserve"> S ohledem na zmíněné nejistoty jsme shledali jako praktické provést odhad v intervalu mezi minimálním a optimistickým scénářem. Doprovodné komentáře v tabulce 15 blíže specifikují předpoklady, za kterých byl proveden odhad a pravděpodobnost využití OI. Odhad byl proveden ke konci roku 2018. Návazně byl přístup k odvětvovým intervencím u nepovinných sektorů projednáván se zástupci profesních svazů v rámci komoditních pracovních skupin. Zástupci svazů v průběhu srpna až října roku 2019 vydali vyjádření k možnosti využití OI v daném odvětví. Vyjádření profesních svalů za jednotlivé sektory jsou uvedeny v boxu pod odhadem ÚZEI. </w:t>
      </w:r>
    </w:p>
    <w:p w14:paraId="429EC03B" w14:textId="77777777" w:rsidR="00AA3A5F" w:rsidRPr="00B25A22" w:rsidRDefault="00AA3A5F" w:rsidP="00AA3A5F">
      <w:pPr>
        <w:rPr>
          <w:rFonts w:eastAsia="Calibri" w:cs="Times New Roman"/>
          <w:sz w:val="22"/>
          <w:lang w:val="cs-CZ"/>
        </w:rPr>
      </w:pPr>
    </w:p>
    <w:p w14:paraId="5F4160DD" w14:textId="77777777" w:rsidR="00AA3A5F" w:rsidRPr="00B25A22" w:rsidRDefault="00AA3A5F" w:rsidP="00AA3A5F">
      <w:pPr>
        <w:rPr>
          <w:rFonts w:eastAsia="Calibri" w:cs="Times New Roman"/>
          <w:sz w:val="22"/>
          <w:lang w:val="cs-CZ"/>
        </w:rPr>
        <w:sectPr w:rsidR="00AA3A5F" w:rsidRPr="00B25A22" w:rsidSect="007A68D5">
          <w:pgSz w:w="11906" w:h="16838"/>
          <w:pgMar w:top="1417" w:right="1417" w:bottom="1417" w:left="1417" w:header="708" w:footer="708" w:gutter="0"/>
          <w:pgNumType w:start="2"/>
          <w:cols w:space="708"/>
          <w:titlePg/>
          <w:docGrid w:linePitch="360"/>
        </w:sectPr>
      </w:pPr>
    </w:p>
    <w:p w14:paraId="6A2DD86C" w14:textId="780A83D6" w:rsidR="00AA3A5F" w:rsidRPr="00B25A22" w:rsidRDefault="00517F5D" w:rsidP="00480367">
      <w:pPr>
        <w:pStyle w:val="UZEITaB"/>
        <w:rPr>
          <w:rFonts w:eastAsia="Calibri"/>
        </w:rPr>
      </w:pPr>
      <w:r>
        <w:rPr>
          <w:rFonts w:eastAsia="Calibri"/>
        </w:rPr>
        <w:lastRenderedPageBreak/>
        <w:t xml:space="preserve"> </w:t>
      </w:r>
      <w:bookmarkStart w:id="60" w:name="_Toc81743450"/>
      <w:r w:rsidR="00AA3A5F" w:rsidRPr="00B25A22">
        <w:rPr>
          <w:rFonts w:eastAsia="Calibri"/>
        </w:rPr>
        <w:t xml:space="preserve">Odhad potenciálního využití odvětvových intervencí vybranými odvětvími dle odhadu ÚZEI </w:t>
      </w:r>
      <w:r w:rsidR="00AA3A5F" w:rsidRPr="00B25A22">
        <w:rPr>
          <w:rFonts w:eastAsia="Calibri"/>
          <w:vertAlign w:val="superscript"/>
        </w:rPr>
        <w:t>1)</w:t>
      </w:r>
      <w:bookmarkEnd w:id="60"/>
    </w:p>
    <w:tbl>
      <w:tblPr>
        <w:tblW w:w="4940" w:type="pct"/>
        <w:tblInd w:w="70" w:type="dxa"/>
        <w:tblCellMar>
          <w:left w:w="70" w:type="dxa"/>
          <w:right w:w="70" w:type="dxa"/>
        </w:tblCellMar>
        <w:tblLook w:val="04A0" w:firstRow="1" w:lastRow="0" w:firstColumn="1" w:lastColumn="0" w:noHBand="0" w:noVBand="1"/>
      </w:tblPr>
      <w:tblGrid>
        <w:gridCol w:w="1296"/>
        <w:gridCol w:w="2348"/>
        <w:gridCol w:w="1534"/>
        <w:gridCol w:w="1518"/>
        <w:gridCol w:w="2313"/>
        <w:gridCol w:w="1976"/>
        <w:gridCol w:w="2821"/>
      </w:tblGrid>
      <w:tr w:rsidR="00AA3A5F" w:rsidRPr="000703B9" w14:paraId="02267445" w14:textId="77777777" w:rsidTr="007A68D5">
        <w:trPr>
          <w:trHeight w:val="1194"/>
        </w:trPr>
        <w:tc>
          <w:tcPr>
            <w:tcW w:w="474" w:type="pct"/>
            <w:tcBorders>
              <w:top w:val="single" w:sz="12" w:space="0" w:color="auto"/>
              <w:left w:val="single" w:sz="12" w:space="0" w:color="auto"/>
              <w:bottom w:val="single" w:sz="4" w:space="0" w:color="auto"/>
              <w:right w:val="single" w:sz="4" w:space="0" w:color="auto"/>
            </w:tcBorders>
            <w:shd w:val="clear" w:color="auto" w:fill="auto"/>
            <w:vAlign w:val="bottom"/>
            <w:hideMark/>
          </w:tcPr>
          <w:p w14:paraId="7BD494C7" w14:textId="77777777" w:rsidR="00AA3A5F" w:rsidRPr="00B25A22" w:rsidRDefault="00AA3A5F" w:rsidP="007A68D5">
            <w:pPr>
              <w:jc w:val="left"/>
              <w:rPr>
                <w:rFonts w:cs="Times New Roman"/>
                <w:lang w:val="cs-CZ"/>
              </w:rPr>
            </w:pPr>
            <w:r w:rsidRPr="00B25A22">
              <w:rPr>
                <w:rFonts w:cs="Times New Roman"/>
                <w:sz w:val="22"/>
                <w:lang w:val="cs-CZ"/>
              </w:rPr>
              <w:t> </w:t>
            </w:r>
          </w:p>
        </w:tc>
        <w:tc>
          <w:tcPr>
            <w:tcW w:w="855" w:type="pct"/>
            <w:tcBorders>
              <w:top w:val="single" w:sz="12" w:space="0" w:color="auto"/>
              <w:left w:val="nil"/>
              <w:bottom w:val="single" w:sz="4" w:space="0" w:color="auto"/>
              <w:right w:val="single" w:sz="4" w:space="0" w:color="auto"/>
            </w:tcBorders>
            <w:shd w:val="clear" w:color="auto" w:fill="auto"/>
            <w:vAlign w:val="center"/>
            <w:hideMark/>
          </w:tcPr>
          <w:p w14:paraId="255C8590" w14:textId="77777777" w:rsidR="00AA3A5F" w:rsidRPr="00B25A22" w:rsidRDefault="00AA3A5F" w:rsidP="007A68D5">
            <w:pPr>
              <w:jc w:val="center"/>
              <w:rPr>
                <w:rFonts w:cs="Times New Roman"/>
                <w:b/>
                <w:bCs/>
                <w:lang w:val="cs-CZ"/>
              </w:rPr>
            </w:pPr>
            <w:r w:rsidRPr="00B25A22">
              <w:rPr>
                <w:rFonts w:cs="Times New Roman"/>
                <w:b/>
                <w:bCs/>
                <w:sz w:val="22"/>
                <w:lang w:val="cs-CZ"/>
              </w:rPr>
              <w:t xml:space="preserve">Podíl tržeb stávajících uznaných organizací producentů na tržbách odvětví </w:t>
            </w:r>
            <w:r w:rsidRPr="00B25A22">
              <w:rPr>
                <w:rFonts w:cs="Times New Roman"/>
                <w:b/>
                <w:bCs/>
                <w:sz w:val="22"/>
                <w:vertAlign w:val="superscript"/>
                <w:lang w:val="cs-CZ"/>
              </w:rPr>
              <w:t>2)</w:t>
            </w:r>
            <w:r w:rsidRPr="00B25A22">
              <w:rPr>
                <w:rFonts w:cs="Times New Roman"/>
                <w:b/>
                <w:bCs/>
                <w:sz w:val="22"/>
                <w:lang w:val="cs-CZ"/>
              </w:rPr>
              <w:t xml:space="preserve"> </w:t>
            </w:r>
          </w:p>
        </w:tc>
        <w:tc>
          <w:tcPr>
            <w:tcW w:w="1083" w:type="pct"/>
            <w:gridSpan w:val="2"/>
            <w:tcBorders>
              <w:top w:val="single" w:sz="12" w:space="0" w:color="auto"/>
              <w:left w:val="nil"/>
              <w:bottom w:val="single" w:sz="4" w:space="0" w:color="auto"/>
              <w:right w:val="single" w:sz="4" w:space="0" w:color="auto"/>
            </w:tcBorders>
            <w:shd w:val="clear" w:color="auto" w:fill="auto"/>
            <w:vAlign w:val="center"/>
            <w:hideMark/>
          </w:tcPr>
          <w:p w14:paraId="697CB51C" w14:textId="77777777" w:rsidR="00AA3A5F" w:rsidRPr="00B25A22" w:rsidRDefault="00AA3A5F" w:rsidP="007A68D5">
            <w:pPr>
              <w:jc w:val="center"/>
              <w:rPr>
                <w:rFonts w:cs="Times New Roman"/>
                <w:b/>
                <w:bCs/>
                <w:lang w:val="cs-CZ"/>
              </w:rPr>
            </w:pPr>
            <w:r w:rsidRPr="00B25A22">
              <w:rPr>
                <w:rFonts w:cs="Times New Roman"/>
                <w:b/>
                <w:bCs/>
                <w:sz w:val="22"/>
                <w:lang w:val="cs-CZ"/>
              </w:rPr>
              <w:t xml:space="preserve">Odhad potenciálního podílu tržeb organizací producentů                         s operačními programy na tržbách odvětví </w:t>
            </w:r>
          </w:p>
        </w:tc>
        <w:tc>
          <w:tcPr>
            <w:tcW w:w="1562" w:type="pct"/>
            <w:gridSpan w:val="2"/>
            <w:tcBorders>
              <w:top w:val="single" w:sz="12" w:space="0" w:color="auto"/>
              <w:left w:val="single" w:sz="4" w:space="0" w:color="auto"/>
              <w:bottom w:val="single" w:sz="4" w:space="0" w:color="auto"/>
              <w:right w:val="single" w:sz="4" w:space="0" w:color="000000"/>
            </w:tcBorders>
            <w:shd w:val="clear" w:color="auto" w:fill="auto"/>
            <w:vAlign w:val="center"/>
            <w:hideMark/>
          </w:tcPr>
          <w:p w14:paraId="703CDE2B" w14:textId="77777777" w:rsidR="00AA3A5F" w:rsidRPr="00B25A22" w:rsidRDefault="00AA3A5F" w:rsidP="007A68D5">
            <w:pPr>
              <w:jc w:val="center"/>
              <w:rPr>
                <w:rFonts w:cs="Times New Roman"/>
                <w:b/>
                <w:bCs/>
                <w:lang w:val="cs-CZ"/>
              </w:rPr>
            </w:pPr>
            <w:r w:rsidRPr="00B25A22">
              <w:rPr>
                <w:rFonts w:cs="Times New Roman"/>
                <w:b/>
                <w:bCs/>
                <w:sz w:val="22"/>
                <w:lang w:val="cs-CZ"/>
              </w:rPr>
              <w:t xml:space="preserve">5,0 % z odhadované obchodované produkce organizací producentů s operačními programy (potenciál odvětví) </w:t>
            </w:r>
            <w:r w:rsidRPr="00B25A22">
              <w:rPr>
                <w:rFonts w:cs="Times New Roman"/>
                <w:b/>
                <w:bCs/>
                <w:sz w:val="22"/>
                <w:vertAlign w:val="superscript"/>
                <w:lang w:val="cs-CZ"/>
              </w:rPr>
              <w:t>3)</w:t>
            </w:r>
            <w:r w:rsidRPr="00B25A22">
              <w:rPr>
                <w:rFonts w:cs="Times New Roman"/>
                <w:b/>
                <w:bCs/>
                <w:sz w:val="22"/>
                <w:lang w:val="cs-CZ"/>
              </w:rPr>
              <w:t xml:space="preserve"> </w:t>
            </w:r>
          </w:p>
        </w:tc>
        <w:tc>
          <w:tcPr>
            <w:tcW w:w="1026" w:type="pct"/>
            <w:tcBorders>
              <w:top w:val="single" w:sz="12" w:space="0" w:color="auto"/>
              <w:left w:val="nil"/>
              <w:bottom w:val="single" w:sz="4" w:space="0" w:color="auto"/>
              <w:right w:val="single" w:sz="12" w:space="0" w:color="auto"/>
            </w:tcBorders>
            <w:shd w:val="clear" w:color="auto" w:fill="auto"/>
            <w:vAlign w:val="center"/>
            <w:hideMark/>
          </w:tcPr>
          <w:p w14:paraId="6A240025" w14:textId="77777777" w:rsidR="00AA3A5F" w:rsidRPr="00B25A22" w:rsidRDefault="00AA3A5F" w:rsidP="007A68D5">
            <w:pPr>
              <w:jc w:val="center"/>
              <w:rPr>
                <w:rFonts w:cs="Times New Roman"/>
                <w:b/>
                <w:bCs/>
                <w:lang w:val="cs-CZ"/>
              </w:rPr>
            </w:pPr>
            <w:r w:rsidRPr="00B25A22">
              <w:rPr>
                <w:rFonts w:cs="Times New Roman"/>
                <w:b/>
                <w:bCs/>
                <w:sz w:val="22"/>
                <w:lang w:val="cs-CZ"/>
              </w:rPr>
              <w:t>5,0 % z tržeb stávajících uznaných OP </w:t>
            </w:r>
            <w:r w:rsidRPr="00B25A22">
              <w:rPr>
                <w:rFonts w:cs="Times New Roman"/>
                <w:b/>
                <w:bCs/>
                <w:sz w:val="22"/>
                <w:vertAlign w:val="superscript"/>
                <w:lang w:val="cs-CZ"/>
              </w:rPr>
              <w:t>3)</w:t>
            </w:r>
          </w:p>
        </w:tc>
      </w:tr>
      <w:tr w:rsidR="00AA3A5F" w:rsidRPr="00B25A22" w14:paraId="7D86B1C9" w14:textId="77777777" w:rsidTr="007A68D5">
        <w:trPr>
          <w:trHeight w:val="873"/>
        </w:trPr>
        <w:tc>
          <w:tcPr>
            <w:tcW w:w="474" w:type="pct"/>
            <w:tcBorders>
              <w:top w:val="nil"/>
              <w:left w:val="single" w:sz="12" w:space="0" w:color="auto"/>
              <w:bottom w:val="single" w:sz="4" w:space="0" w:color="auto"/>
              <w:right w:val="single" w:sz="4" w:space="0" w:color="auto"/>
            </w:tcBorders>
            <w:shd w:val="clear" w:color="000000" w:fill="F2F2F2"/>
            <w:vAlign w:val="bottom"/>
            <w:hideMark/>
          </w:tcPr>
          <w:p w14:paraId="184732F7" w14:textId="77777777" w:rsidR="00AA3A5F" w:rsidRPr="00B25A22" w:rsidRDefault="00AA3A5F" w:rsidP="007A68D5">
            <w:pPr>
              <w:jc w:val="left"/>
              <w:rPr>
                <w:rFonts w:cs="Times New Roman"/>
                <w:lang w:val="cs-CZ"/>
              </w:rPr>
            </w:pPr>
            <w:r w:rsidRPr="00B25A22">
              <w:rPr>
                <w:rFonts w:cs="Times New Roman"/>
                <w:sz w:val="22"/>
                <w:lang w:val="cs-CZ"/>
              </w:rPr>
              <w:t> </w:t>
            </w:r>
          </w:p>
        </w:tc>
        <w:tc>
          <w:tcPr>
            <w:tcW w:w="855" w:type="pct"/>
            <w:tcBorders>
              <w:top w:val="nil"/>
              <w:left w:val="nil"/>
              <w:bottom w:val="single" w:sz="4" w:space="0" w:color="auto"/>
              <w:right w:val="single" w:sz="4" w:space="0" w:color="auto"/>
            </w:tcBorders>
            <w:shd w:val="clear" w:color="000000" w:fill="F2F2F2"/>
            <w:vAlign w:val="center"/>
            <w:hideMark/>
          </w:tcPr>
          <w:p w14:paraId="7E7AF489" w14:textId="77777777" w:rsidR="00AA3A5F" w:rsidRPr="00B25A22" w:rsidRDefault="00AA3A5F" w:rsidP="007A68D5">
            <w:pPr>
              <w:jc w:val="center"/>
              <w:rPr>
                <w:rFonts w:cs="Times New Roman"/>
                <w:b/>
                <w:bCs/>
                <w:lang w:val="cs-CZ"/>
              </w:rPr>
            </w:pPr>
            <w:r w:rsidRPr="00B25A22">
              <w:rPr>
                <w:rFonts w:cs="Times New Roman"/>
                <w:b/>
                <w:bCs/>
                <w:sz w:val="22"/>
                <w:lang w:val="cs-CZ"/>
              </w:rPr>
              <w:t xml:space="preserve">% </w:t>
            </w:r>
          </w:p>
        </w:tc>
        <w:tc>
          <w:tcPr>
            <w:tcW w:w="529" w:type="pct"/>
            <w:tcBorders>
              <w:top w:val="nil"/>
              <w:left w:val="nil"/>
              <w:bottom w:val="single" w:sz="4" w:space="0" w:color="auto"/>
              <w:right w:val="single" w:sz="4" w:space="0" w:color="auto"/>
            </w:tcBorders>
            <w:shd w:val="clear" w:color="000000" w:fill="F2F2F2"/>
            <w:vAlign w:val="center"/>
            <w:hideMark/>
          </w:tcPr>
          <w:p w14:paraId="4E043590" w14:textId="77777777" w:rsidR="00AA3A5F" w:rsidRPr="00B25A22" w:rsidRDefault="00AA3A5F" w:rsidP="007A68D5">
            <w:pPr>
              <w:jc w:val="center"/>
              <w:rPr>
                <w:rFonts w:cs="Times New Roman"/>
                <w:b/>
                <w:bCs/>
                <w:lang w:val="cs-CZ"/>
              </w:rPr>
            </w:pPr>
            <w:r w:rsidRPr="00B25A22">
              <w:rPr>
                <w:rFonts w:cs="Times New Roman"/>
                <w:b/>
                <w:bCs/>
                <w:sz w:val="22"/>
                <w:lang w:val="cs-CZ"/>
              </w:rPr>
              <w:t xml:space="preserve">minimalistický odhad (%) </w:t>
            </w:r>
          </w:p>
        </w:tc>
        <w:tc>
          <w:tcPr>
            <w:tcW w:w="554" w:type="pct"/>
            <w:tcBorders>
              <w:top w:val="nil"/>
              <w:left w:val="nil"/>
              <w:bottom w:val="single" w:sz="4" w:space="0" w:color="auto"/>
              <w:right w:val="single" w:sz="4" w:space="0" w:color="auto"/>
            </w:tcBorders>
            <w:shd w:val="clear" w:color="000000" w:fill="F2F2F2"/>
            <w:vAlign w:val="center"/>
            <w:hideMark/>
          </w:tcPr>
          <w:p w14:paraId="1287B0A7" w14:textId="77777777" w:rsidR="00AA3A5F" w:rsidRPr="00B25A22" w:rsidRDefault="00AA3A5F" w:rsidP="007A68D5">
            <w:pPr>
              <w:jc w:val="center"/>
              <w:rPr>
                <w:rFonts w:cs="Times New Roman"/>
                <w:b/>
                <w:bCs/>
                <w:lang w:val="cs-CZ"/>
              </w:rPr>
            </w:pPr>
            <w:r w:rsidRPr="00B25A22">
              <w:rPr>
                <w:rFonts w:cs="Times New Roman"/>
                <w:b/>
                <w:bCs/>
                <w:sz w:val="22"/>
                <w:lang w:val="cs-CZ"/>
              </w:rPr>
              <w:t xml:space="preserve">optimistický odhad (%) </w:t>
            </w:r>
          </w:p>
        </w:tc>
        <w:tc>
          <w:tcPr>
            <w:tcW w:w="842" w:type="pct"/>
            <w:tcBorders>
              <w:top w:val="nil"/>
              <w:left w:val="nil"/>
              <w:bottom w:val="single" w:sz="4" w:space="0" w:color="auto"/>
              <w:right w:val="single" w:sz="4" w:space="0" w:color="auto"/>
            </w:tcBorders>
            <w:shd w:val="clear" w:color="auto" w:fill="F2F2F2" w:themeFill="background1" w:themeFillShade="F2"/>
            <w:vAlign w:val="center"/>
            <w:hideMark/>
          </w:tcPr>
          <w:p w14:paraId="7A90BA40" w14:textId="77777777" w:rsidR="00AA3A5F" w:rsidRPr="00B25A22" w:rsidRDefault="00AA3A5F" w:rsidP="007A68D5">
            <w:pPr>
              <w:jc w:val="center"/>
              <w:rPr>
                <w:rFonts w:cs="Times New Roman"/>
                <w:b/>
                <w:bCs/>
                <w:lang w:val="cs-CZ"/>
              </w:rPr>
            </w:pPr>
            <w:r w:rsidRPr="00B25A22">
              <w:rPr>
                <w:rFonts w:cs="Times New Roman"/>
                <w:b/>
                <w:bCs/>
                <w:sz w:val="22"/>
                <w:lang w:val="cs-CZ"/>
              </w:rPr>
              <w:t>minimalistický odhad (mil. Kč)</w:t>
            </w:r>
          </w:p>
        </w:tc>
        <w:tc>
          <w:tcPr>
            <w:tcW w:w="720" w:type="pct"/>
            <w:tcBorders>
              <w:top w:val="nil"/>
              <w:left w:val="nil"/>
              <w:bottom w:val="single" w:sz="4" w:space="0" w:color="auto"/>
              <w:right w:val="single" w:sz="4" w:space="0" w:color="auto"/>
            </w:tcBorders>
            <w:shd w:val="clear" w:color="auto" w:fill="F2F2F2" w:themeFill="background1" w:themeFillShade="F2"/>
            <w:vAlign w:val="center"/>
            <w:hideMark/>
          </w:tcPr>
          <w:p w14:paraId="1D462350" w14:textId="77777777" w:rsidR="00AA3A5F" w:rsidRPr="00B25A22" w:rsidRDefault="00AA3A5F" w:rsidP="007A68D5">
            <w:pPr>
              <w:jc w:val="center"/>
              <w:rPr>
                <w:rFonts w:cs="Times New Roman"/>
                <w:b/>
                <w:bCs/>
                <w:lang w:val="cs-CZ"/>
              </w:rPr>
            </w:pPr>
            <w:r w:rsidRPr="00B25A22">
              <w:rPr>
                <w:rFonts w:cs="Times New Roman"/>
                <w:b/>
                <w:bCs/>
                <w:sz w:val="22"/>
                <w:lang w:val="cs-CZ"/>
              </w:rPr>
              <w:t>optimistický odhad (mil. Kč)</w:t>
            </w:r>
          </w:p>
        </w:tc>
        <w:tc>
          <w:tcPr>
            <w:tcW w:w="1026" w:type="pct"/>
            <w:tcBorders>
              <w:top w:val="nil"/>
              <w:left w:val="nil"/>
              <w:bottom w:val="single" w:sz="4" w:space="0" w:color="auto"/>
              <w:right w:val="single" w:sz="12" w:space="0" w:color="auto"/>
            </w:tcBorders>
            <w:shd w:val="clear" w:color="000000" w:fill="F2F2F2"/>
            <w:vAlign w:val="center"/>
            <w:hideMark/>
          </w:tcPr>
          <w:p w14:paraId="26C5637E" w14:textId="77777777" w:rsidR="00AA3A5F" w:rsidRPr="00B25A22" w:rsidRDefault="00AA3A5F" w:rsidP="007A68D5">
            <w:pPr>
              <w:jc w:val="center"/>
              <w:rPr>
                <w:rFonts w:cs="Times New Roman"/>
                <w:b/>
                <w:bCs/>
                <w:lang w:val="cs-CZ"/>
              </w:rPr>
            </w:pPr>
            <w:r w:rsidRPr="00B25A22">
              <w:rPr>
                <w:rFonts w:cs="Times New Roman"/>
                <w:b/>
                <w:bCs/>
                <w:sz w:val="22"/>
                <w:lang w:val="cs-CZ"/>
              </w:rPr>
              <w:t xml:space="preserve"> (mil. Kč)</w:t>
            </w:r>
          </w:p>
        </w:tc>
      </w:tr>
      <w:tr w:rsidR="00AA3A5F" w:rsidRPr="00B25A22" w14:paraId="21AF707C" w14:textId="77777777" w:rsidTr="007A68D5">
        <w:trPr>
          <w:trHeight w:val="526"/>
        </w:trPr>
        <w:tc>
          <w:tcPr>
            <w:tcW w:w="474" w:type="pct"/>
            <w:tcBorders>
              <w:top w:val="nil"/>
              <w:left w:val="single" w:sz="12" w:space="0" w:color="auto"/>
              <w:bottom w:val="single" w:sz="4" w:space="0" w:color="auto"/>
              <w:right w:val="single" w:sz="4" w:space="0" w:color="auto"/>
            </w:tcBorders>
            <w:shd w:val="clear" w:color="auto" w:fill="auto"/>
            <w:vAlign w:val="center"/>
            <w:hideMark/>
          </w:tcPr>
          <w:p w14:paraId="335F6421"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Vepřové maso</w:t>
            </w:r>
          </w:p>
        </w:tc>
        <w:tc>
          <w:tcPr>
            <w:tcW w:w="855" w:type="pct"/>
            <w:tcBorders>
              <w:top w:val="nil"/>
              <w:left w:val="nil"/>
              <w:bottom w:val="single" w:sz="4" w:space="0" w:color="auto"/>
              <w:right w:val="single" w:sz="4" w:space="0" w:color="auto"/>
            </w:tcBorders>
            <w:shd w:val="clear" w:color="auto" w:fill="auto"/>
            <w:vAlign w:val="center"/>
            <w:hideMark/>
          </w:tcPr>
          <w:p w14:paraId="6D91266B" w14:textId="77777777" w:rsidR="00AA3A5F" w:rsidRPr="00B25A22" w:rsidRDefault="00AA3A5F" w:rsidP="007A68D5">
            <w:pPr>
              <w:jc w:val="center"/>
              <w:rPr>
                <w:rFonts w:cs="Times New Roman"/>
                <w:bCs/>
                <w:sz w:val="20"/>
                <w:szCs w:val="20"/>
                <w:lang w:val="cs-CZ"/>
              </w:rPr>
            </w:pPr>
            <w:r w:rsidRPr="00B25A22">
              <w:rPr>
                <w:rFonts w:cs="Times New Roman"/>
                <w:bCs/>
                <w:sz w:val="20"/>
                <w:szCs w:val="20"/>
                <w:lang w:val="cs-CZ"/>
              </w:rPr>
              <w:t>3,0</w:t>
            </w:r>
          </w:p>
        </w:tc>
        <w:tc>
          <w:tcPr>
            <w:tcW w:w="529" w:type="pct"/>
            <w:tcBorders>
              <w:top w:val="nil"/>
              <w:left w:val="nil"/>
              <w:bottom w:val="single" w:sz="4" w:space="0" w:color="auto"/>
              <w:right w:val="single" w:sz="4" w:space="0" w:color="auto"/>
            </w:tcBorders>
            <w:shd w:val="clear" w:color="auto" w:fill="auto"/>
            <w:vAlign w:val="center"/>
            <w:hideMark/>
          </w:tcPr>
          <w:p w14:paraId="747BCE4E"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0,0</w:t>
            </w:r>
          </w:p>
        </w:tc>
        <w:tc>
          <w:tcPr>
            <w:tcW w:w="554" w:type="pct"/>
            <w:tcBorders>
              <w:top w:val="nil"/>
              <w:left w:val="nil"/>
              <w:bottom w:val="single" w:sz="4" w:space="0" w:color="auto"/>
              <w:right w:val="single" w:sz="4" w:space="0" w:color="auto"/>
            </w:tcBorders>
            <w:shd w:val="clear" w:color="auto" w:fill="auto"/>
            <w:vAlign w:val="center"/>
            <w:hideMark/>
          </w:tcPr>
          <w:p w14:paraId="4CA674DB"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5,0</w:t>
            </w:r>
          </w:p>
        </w:tc>
        <w:tc>
          <w:tcPr>
            <w:tcW w:w="842" w:type="pct"/>
            <w:tcBorders>
              <w:top w:val="nil"/>
              <w:left w:val="nil"/>
              <w:bottom w:val="single" w:sz="4" w:space="0" w:color="auto"/>
              <w:right w:val="single" w:sz="4" w:space="0" w:color="auto"/>
            </w:tcBorders>
            <w:shd w:val="clear" w:color="auto" w:fill="F2F2F2" w:themeFill="background1" w:themeFillShade="F2"/>
            <w:vAlign w:val="center"/>
            <w:hideMark/>
          </w:tcPr>
          <w:p w14:paraId="28DDCC67"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0,0</w:t>
            </w:r>
          </w:p>
        </w:tc>
        <w:tc>
          <w:tcPr>
            <w:tcW w:w="720" w:type="pct"/>
            <w:tcBorders>
              <w:top w:val="nil"/>
              <w:left w:val="nil"/>
              <w:bottom w:val="single" w:sz="4" w:space="0" w:color="auto"/>
              <w:right w:val="single" w:sz="4" w:space="0" w:color="auto"/>
            </w:tcBorders>
            <w:shd w:val="clear" w:color="auto" w:fill="F2F2F2" w:themeFill="background1" w:themeFillShade="F2"/>
            <w:vAlign w:val="center"/>
            <w:hideMark/>
          </w:tcPr>
          <w:p w14:paraId="5FF752E6"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21,9</w:t>
            </w:r>
          </w:p>
        </w:tc>
        <w:tc>
          <w:tcPr>
            <w:tcW w:w="1026" w:type="pct"/>
            <w:tcBorders>
              <w:top w:val="nil"/>
              <w:left w:val="nil"/>
              <w:bottom w:val="single" w:sz="4" w:space="0" w:color="auto"/>
              <w:right w:val="single" w:sz="12" w:space="0" w:color="auto"/>
            </w:tcBorders>
            <w:shd w:val="clear" w:color="auto" w:fill="auto"/>
            <w:vAlign w:val="center"/>
            <w:hideMark/>
          </w:tcPr>
          <w:p w14:paraId="2E342656"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13,1</w:t>
            </w:r>
          </w:p>
        </w:tc>
      </w:tr>
      <w:tr w:rsidR="00AA3A5F" w:rsidRPr="00B25A22" w14:paraId="458E942A" w14:textId="77777777" w:rsidTr="007A68D5">
        <w:trPr>
          <w:trHeight w:val="526"/>
        </w:trPr>
        <w:tc>
          <w:tcPr>
            <w:tcW w:w="474" w:type="pct"/>
            <w:tcBorders>
              <w:top w:val="nil"/>
              <w:left w:val="single" w:sz="12" w:space="0" w:color="auto"/>
              <w:bottom w:val="single" w:sz="4" w:space="0" w:color="auto"/>
              <w:right w:val="single" w:sz="4" w:space="0" w:color="auto"/>
            </w:tcBorders>
            <w:shd w:val="clear" w:color="auto" w:fill="auto"/>
            <w:vAlign w:val="center"/>
            <w:hideMark/>
          </w:tcPr>
          <w:p w14:paraId="627B0436"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Hovězí a tel. maso</w:t>
            </w:r>
          </w:p>
        </w:tc>
        <w:tc>
          <w:tcPr>
            <w:tcW w:w="855" w:type="pct"/>
            <w:tcBorders>
              <w:top w:val="nil"/>
              <w:left w:val="nil"/>
              <w:bottom w:val="single" w:sz="4" w:space="0" w:color="auto"/>
              <w:right w:val="single" w:sz="4" w:space="0" w:color="auto"/>
            </w:tcBorders>
            <w:shd w:val="clear" w:color="auto" w:fill="auto"/>
            <w:vAlign w:val="center"/>
            <w:hideMark/>
          </w:tcPr>
          <w:p w14:paraId="245D6A2E" w14:textId="77777777" w:rsidR="00AA3A5F" w:rsidRPr="00B25A22" w:rsidRDefault="00AA3A5F" w:rsidP="007A68D5">
            <w:pPr>
              <w:jc w:val="center"/>
              <w:rPr>
                <w:rFonts w:cs="Times New Roman"/>
                <w:bCs/>
                <w:sz w:val="20"/>
                <w:szCs w:val="20"/>
                <w:lang w:val="cs-CZ"/>
              </w:rPr>
            </w:pPr>
            <w:r w:rsidRPr="00B25A22">
              <w:rPr>
                <w:rFonts w:cs="Times New Roman"/>
                <w:bCs/>
                <w:sz w:val="20"/>
                <w:szCs w:val="20"/>
                <w:lang w:val="cs-CZ"/>
              </w:rPr>
              <w:t>0,7</w:t>
            </w:r>
          </w:p>
        </w:tc>
        <w:tc>
          <w:tcPr>
            <w:tcW w:w="529" w:type="pct"/>
            <w:tcBorders>
              <w:top w:val="nil"/>
              <w:left w:val="nil"/>
              <w:bottom w:val="single" w:sz="4" w:space="0" w:color="auto"/>
              <w:right w:val="single" w:sz="4" w:space="0" w:color="auto"/>
            </w:tcBorders>
            <w:shd w:val="clear" w:color="auto" w:fill="auto"/>
            <w:vAlign w:val="center"/>
            <w:hideMark/>
          </w:tcPr>
          <w:p w14:paraId="2EBF2308"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0,0</w:t>
            </w:r>
          </w:p>
        </w:tc>
        <w:tc>
          <w:tcPr>
            <w:tcW w:w="554" w:type="pct"/>
            <w:tcBorders>
              <w:top w:val="nil"/>
              <w:left w:val="nil"/>
              <w:bottom w:val="single" w:sz="4" w:space="0" w:color="auto"/>
              <w:right w:val="single" w:sz="4" w:space="0" w:color="auto"/>
            </w:tcBorders>
            <w:shd w:val="clear" w:color="auto" w:fill="auto"/>
            <w:vAlign w:val="center"/>
            <w:hideMark/>
          </w:tcPr>
          <w:p w14:paraId="75AFA5D9"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2,0</w:t>
            </w:r>
          </w:p>
        </w:tc>
        <w:tc>
          <w:tcPr>
            <w:tcW w:w="842" w:type="pct"/>
            <w:tcBorders>
              <w:top w:val="nil"/>
              <w:left w:val="nil"/>
              <w:bottom w:val="single" w:sz="4" w:space="0" w:color="auto"/>
              <w:right w:val="single" w:sz="4" w:space="0" w:color="auto"/>
            </w:tcBorders>
            <w:shd w:val="clear" w:color="auto" w:fill="F2F2F2" w:themeFill="background1" w:themeFillShade="F2"/>
            <w:vAlign w:val="center"/>
            <w:hideMark/>
          </w:tcPr>
          <w:p w14:paraId="6E7A5BA8"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0,0</w:t>
            </w:r>
          </w:p>
        </w:tc>
        <w:tc>
          <w:tcPr>
            <w:tcW w:w="720" w:type="pct"/>
            <w:tcBorders>
              <w:top w:val="nil"/>
              <w:left w:val="nil"/>
              <w:bottom w:val="single" w:sz="4" w:space="0" w:color="auto"/>
              <w:right w:val="single" w:sz="4" w:space="0" w:color="auto"/>
            </w:tcBorders>
            <w:shd w:val="clear" w:color="auto" w:fill="F2F2F2" w:themeFill="background1" w:themeFillShade="F2"/>
            <w:vAlign w:val="center"/>
            <w:hideMark/>
          </w:tcPr>
          <w:p w14:paraId="671B3689"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7,1</w:t>
            </w:r>
          </w:p>
        </w:tc>
        <w:tc>
          <w:tcPr>
            <w:tcW w:w="1026" w:type="pct"/>
            <w:tcBorders>
              <w:top w:val="nil"/>
              <w:left w:val="nil"/>
              <w:bottom w:val="single" w:sz="4" w:space="0" w:color="auto"/>
              <w:right w:val="single" w:sz="12" w:space="0" w:color="auto"/>
            </w:tcBorders>
            <w:shd w:val="clear" w:color="auto" w:fill="auto"/>
            <w:vAlign w:val="center"/>
            <w:hideMark/>
          </w:tcPr>
          <w:p w14:paraId="1A082560"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2,5</w:t>
            </w:r>
          </w:p>
        </w:tc>
      </w:tr>
      <w:tr w:rsidR="00AA3A5F" w:rsidRPr="00B25A22" w14:paraId="29395375" w14:textId="77777777" w:rsidTr="007A68D5">
        <w:trPr>
          <w:trHeight w:val="526"/>
        </w:trPr>
        <w:tc>
          <w:tcPr>
            <w:tcW w:w="474" w:type="pct"/>
            <w:tcBorders>
              <w:top w:val="nil"/>
              <w:left w:val="single" w:sz="12" w:space="0" w:color="auto"/>
              <w:bottom w:val="single" w:sz="4" w:space="0" w:color="auto"/>
              <w:right w:val="single" w:sz="4" w:space="0" w:color="auto"/>
            </w:tcBorders>
            <w:shd w:val="clear" w:color="auto" w:fill="auto"/>
            <w:vAlign w:val="center"/>
            <w:hideMark/>
          </w:tcPr>
          <w:p w14:paraId="09D6E342"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 xml:space="preserve">Drůbež </w:t>
            </w:r>
          </w:p>
        </w:tc>
        <w:tc>
          <w:tcPr>
            <w:tcW w:w="855" w:type="pct"/>
            <w:tcBorders>
              <w:top w:val="nil"/>
              <w:left w:val="nil"/>
              <w:bottom w:val="single" w:sz="4" w:space="0" w:color="auto"/>
              <w:right w:val="single" w:sz="4" w:space="0" w:color="auto"/>
            </w:tcBorders>
            <w:shd w:val="clear" w:color="auto" w:fill="auto"/>
            <w:vAlign w:val="center"/>
            <w:hideMark/>
          </w:tcPr>
          <w:p w14:paraId="13D8FFD8" w14:textId="77777777" w:rsidR="00AA3A5F" w:rsidRPr="00B25A22" w:rsidRDefault="00AA3A5F" w:rsidP="007A68D5">
            <w:pPr>
              <w:jc w:val="center"/>
              <w:rPr>
                <w:rFonts w:cs="Times New Roman"/>
                <w:bCs/>
                <w:sz w:val="20"/>
                <w:szCs w:val="20"/>
                <w:lang w:val="cs-CZ"/>
              </w:rPr>
            </w:pPr>
            <w:r w:rsidRPr="00B25A22">
              <w:rPr>
                <w:rFonts w:cs="Times New Roman"/>
                <w:bCs/>
                <w:sz w:val="20"/>
                <w:szCs w:val="20"/>
                <w:lang w:val="cs-CZ"/>
              </w:rPr>
              <w:t>0,0</w:t>
            </w:r>
          </w:p>
        </w:tc>
        <w:tc>
          <w:tcPr>
            <w:tcW w:w="529" w:type="pct"/>
            <w:tcBorders>
              <w:top w:val="nil"/>
              <w:left w:val="nil"/>
              <w:bottom w:val="single" w:sz="4" w:space="0" w:color="auto"/>
              <w:right w:val="single" w:sz="4" w:space="0" w:color="auto"/>
            </w:tcBorders>
            <w:shd w:val="clear" w:color="auto" w:fill="auto"/>
            <w:vAlign w:val="center"/>
            <w:hideMark/>
          </w:tcPr>
          <w:p w14:paraId="06DBC309"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0,0</w:t>
            </w:r>
          </w:p>
        </w:tc>
        <w:tc>
          <w:tcPr>
            <w:tcW w:w="554" w:type="pct"/>
            <w:tcBorders>
              <w:top w:val="nil"/>
              <w:left w:val="nil"/>
              <w:bottom w:val="single" w:sz="4" w:space="0" w:color="auto"/>
              <w:right w:val="single" w:sz="4" w:space="0" w:color="auto"/>
            </w:tcBorders>
            <w:shd w:val="clear" w:color="auto" w:fill="auto"/>
            <w:vAlign w:val="center"/>
            <w:hideMark/>
          </w:tcPr>
          <w:p w14:paraId="37D5E146"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0,0</w:t>
            </w:r>
          </w:p>
        </w:tc>
        <w:tc>
          <w:tcPr>
            <w:tcW w:w="842" w:type="pct"/>
            <w:tcBorders>
              <w:top w:val="nil"/>
              <w:left w:val="nil"/>
              <w:bottom w:val="single" w:sz="4" w:space="0" w:color="auto"/>
              <w:right w:val="single" w:sz="4" w:space="0" w:color="auto"/>
            </w:tcBorders>
            <w:shd w:val="clear" w:color="auto" w:fill="F2F2F2" w:themeFill="background1" w:themeFillShade="F2"/>
            <w:vAlign w:val="center"/>
            <w:hideMark/>
          </w:tcPr>
          <w:p w14:paraId="23300C54"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0,0</w:t>
            </w:r>
          </w:p>
        </w:tc>
        <w:tc>
          <w:tcPr>
            <w:tcW w:w="720" w:type="pct"/>
            <w:tcBorders>
              <w:top w:val="nil"/>
              <w:left w:val="nil"/>
              <w:bottom w:val="single" w:sz="4" w:space="0" w:color="auto"/>
              <w:right w:val="single" w:sz="4" w:space="0" w:color="auto"/>
            </w:tcBorders>
            <w:shd w:val="clear" w:color="auto" w:fill="F2F2F2" w:themeFill="background1" w:themeFillShade="F2"/>
            <w:vAlign w:val="center"/>
            <w:hideMark/>
          </w:tcPr>
          <w:p w14:paraId="0555BA73"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0,0</w:t>
            </w:r>
          </w:p>
        </w:tc>
        <w:tc>
          <w:tcPr>
            <w:tcW w:w="1026" w:type="pct"/>
            <w:tcBorders>
              <w:top w:val="nil"/>
              <w:left w:val="nil"/>
              <w:bottom w:val="single" w:sz="4" w:space="0" w:color="auto"/>
              <w:right w:val="single" w:sz="12" w:space="0" w:color="auto"/>
            </w:tcBorders>
            <w:shd w:val="clear" w:color="auto" w:fill="auto"/>
            <w:vAlign w:val="center"/>
            <w:hideMark/>
          </w:tcPr>
          <w:p w14:paraId="44DE8FA4"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0,0</w:t>
            </w:r>
          </w:p>
        </w:tc>
      </w:tr>
      <w:tr w:rsidR="00AA3A5F" w:rsidRPr="00B25A22" w14:paraId="47E664C5" w14:textId="77777777" w:rsidTr="007A68D5">
        <w:trPr>
          <w:trHeight w:val="526"/>
        </w:trPr>
        <w:tc>
          <w:tcPr>
            <w:tcW w:w="474" w:type="pct"/>
            <w:tcBorders>
              <w:top w:val="nil"/>
              <w:left w:val="single" w:sz="12" w:space="0" w:color="auto"/>
              <w:bottom w:val="single" w:sz="4" w:space="0" w:color="auto"/>
              <w:right w:val="single" w:sz="4" w:space="0" w:color="auto"/>
            </w:tcBorders>
            <w:shd w:val="clear" w:color="auto" w:fill="auto"/>
            <w:vAlign w:val="center"/>
            <w:hideMark/>
          </w:tcPr>
          <w:p w14:paraId="174370EB" w14:textId="77777777" w:rsidR="00AA3A5F" w:rsidRPr="00B25A22" w:rsidRDefault="00AA3A5F" w:rsidP="007A68D5">
            <w:pPr>
              <w:jc w:val="left"/>
              <w:rPr>
                <w:rFonts w:cs="Times New Roman"/>
                <w:iCs/>
                <w:sz w:val="20"/>
                <w:szCs w:val="20"/>
                <w:lang w:val="cs-CZ"/>
              </w:rPr>
            </w:pPr>
            <w:r w:rsidRPr="00B25A22">
              <w:rPr>
                <w:rFonts w:cs="Times New Roman"/>
                <w:iCs/>
                <w:sz w:val="20"/>
                <w:szCs w:val="20"/>
                <w:lang w:val="cs-CZ"/>
              </w:rPr>
              <w:t>Vejce</w:t>
            </w:r>
          </w:p>
        </w:tc>
        <w:tc>
          <w:tcPr>
            <w:tcW w:w="855" w:type="pct"/>
            <w:tcBorders>
              <w:top w:val="nil"/>
              <w:left w:val="nil"/>
              <w:bottom w:val="single" w:sz="4" w:space="0" w:color="auto"/>
              <w:right w:val="single" w:sz="4" w:space="0" w:color="auto"/>
            </w:tcBorders>
            <w:shd w:val="clear" w:color="auto" w:fill="auto"/>
            <w:vAlign w:val="center"/>
            <w:hideMark/>
          </w:tcPr>
          <w:p w14:paraId="114FB0CE" w14:textId="77777777" w:rsidR="00AA3A5F" w:rsidRPr="00B25A22" w:rsidRDefault="00AA3A5F" w:rsidP="007A68D5">
            <w:pPr>
              <w:jc w:val="center"/>
              <w:rPr>
                <w:rFonts w:cs="Times New Roman"/>
                <w:bCs/>
                <w:sz w:val="20"/>
                <w:szCs w:val="20"/>
                <w:lang w:val="cs-CZ"/>
              </w:rPr>
            </w:pPr>
            <w:r w:rsidRPr="00B25A22">
              <w:rPr>
                <w:rFonts w:cs="Times New Roman"/>
                <w:bCs/>
                <w:sz w:val="20"/>
                <w:szCs w:val="20"/>
                <w:lang w:val="cs-CZ"/>
              </w:rPr>
              <w:t>22,6</w:t>
            </w:r>
          </w:p>
        </w:tc>
        <w:tc>
          <w:tcPr>
            <w:tcW w:w="529" w:type="pct"/>
            <w:tcBorders>
              <w:top w:val="nil"/>
              <w:left w:val="nil"/>
              <w:bottom w:val="single" w:sz="4" w:space="0" w:color="auto"/>
              <w:right w:val="single" w:sz="4" w:space="0" w:color="auto"/>
            </w:tcBorders>
            <w:shd w:val="clear" w:color="auto" w:fill="auto"/>
            <w:vAlign w:val="center"/>
            <w:hideMark/>
          </w:tcPr>
          <w:p w14:paraId="393E829D"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20,0</w:t>
            </w:r>
          </w:p>
        </w:tc>
        <w:tc>
          <w:tcPr>
            <w:tcW w:w="554" w:type="pct"/>
            <w:tcBorders>
              <w:top w:val="nil"/>
              <w:left w:val="nil"/>
              <w:bottom w:val="single" w:sz="4" w:space="0" w:color="auto"/>
              <w:right w:val="single" w:sz="4" w:space="0" w:color="auto"/>
            </w:tcBorders>
            <w:shd w:val="clear" w:color="auto" w:fill="auto"/>
            <w:vAlign w:val="center"/>
            <w:hideMark/>
          </w:tcPr>
          <w:p w14:paraId="2E258838"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50,0</w:t>
            </w:r>
          </w:p>
        </w:tc>
        <w:tc>
          <w:tcPr>
            <w:tcW w:w="842" w:type="pct"/>
            <w:tcBorders>
              <w:top w:val="nil"/>
              <w:left w:val="nil"/>
              <w:bottom w:val="single" w:sz="4" w:space="0" w:color="auto"/>
              <w:right w:val="single" w:sz="4" w:space="0" w:color="auto"/>
            </w:tcBorders>
            <w:shd w:val="clear" w:color="auto" w:fill="F2F2F2" w:themeFill="background1" w:themeFillShade="F2"/>
            <w:vAlign w:val="center"/>
            <w:hideMark/>
          </w:tcPr>
          <w:p w14:paraId="70E7953F"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27,4</w:t>
            </w:r>
          </w:p>
        </w:tc>
        <w:tc>
          <w:tcPr>
            <w:tcW w:w="720" w:type="pct"/>
            <w:tcBorders>
              <w:top w:val="nil"/>
              <w:left w:val="nil"/>
              <w:bottom w:val="single" w:sz="4" w:space="0" w:color="auto"/>
              <w:right w:val="single" w:sz="4" w:space="0" w:color="auto"/>
            </w:tcBorders>
            <w:shd w:val="clear" w:color="auto" w:fill="F2F2F2" w:themeFill="background1" w:themeFillShade="F2"/>
            <w:vAlign w:val="center"/>
            <w:hideMark/>
          </w:tcPr>
          <w:p w14:paraId="7F5587F8"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62,2</w:t>
            </w:r>
          </w:p>
        </w:tc>
        <w:tc>
          <w:tcPr>
            <w:tcW w:w="1026" w:type="pct"/>
            <w:tcBorders>
              <w:top w:val="nil"/>
              <w:left w:val="nil"/>
              <w:bottom w:val="single" w:sz="4" w:space="0" w:color="auto"/>
              <w:right w:val="single" w:sz="12" w:space="0" w:color="auto"/>
            </w:tcBorders>
            <w:shd w:val="clear" w:color="auto" w:fill="auto"/>
            <w:vAlign w:val="center"/>
            <w:hideMark/>
          </w:tcPr>
          <w:p w14:paraId="0F4E3F7D"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28,1</w:t>
            </w:r>
          </w:p>
        </w:tc>
      </w:tr>
      <w:tr w:rsidR="00AA3A5F" w:rsidRPr="00B25A22" w14:paraId="2205AE30" w14:textId="77777777" w:rsidTr="007A68D5">
        <w:trPr>
          <w:trHeight w:val="526"/>
        </w:trPr>
        <w:tc>
          <w:tcPr>
            <w:tcW w:w="474" w:type="pct"/>
            <w:tcBorders>
              <w:top w:val="nil"/>
              <w:left w:val="single" w:sz="12" w:space="0" w:color="auto"/>
              <w:bottom w:val="single" w:sz="4" w:space="0" w:color="auto"/>
              <w:right w:val="single" w:sz="4" w:space="0" w:color="auto"/>
            </w:tcBorders>
            <w:shd w:val="clear" w:color="auto" w:fill="auto"/>
            <w:vAlign w:val="center"/>
            <w:hideMark/>
          </w:tcPr>
          <w:p w14:paraId="6CB4A28B"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Mléko</w:t>
            </w:r>
          </w:p>
        </w:tc>
        <w:tc>
          <w:tcPr>
            <w:tcW w:w="855" w:type="pct"/>
            <w:tcBorders>
              <w:top w:val="nil"/>
              <w:left w:val="nil"/>
              <w:bottom w:val="single" w:sz="4" w:space="0" w:color="auto"/>
              <w:right w:val="single" w:sz="4" w:space="0" w:color="auto"/>
            </w:tcBorders>
            <w:shd w:val="clear" w:color="auto" w:fill="auto"/>
            <w:vAlign w:val="center"/>
            <w:hideMark/>
          </w:tcPr>
          <w:p w14:paraId="68CCAB8D" w14:textId="77777777" w:rsidR="00AA3A5F" w:rsidRPr="00B25A22" w:rsidRDefault="00AA3A5F" w:rsidP="007A68D5">
            <w:pPr>
              <w:jc w:val="center"/>
              <w:rPr>
                <w:rFonts w:cs="Times New Roman"/>
                <w:bCs/>
                <w:sz w:val="20"/>
                <w:szCs w:val="20"/>
                <w:lang w:val="cs-CZ"/>
              </w:rPr>
            </w:pPr>
            <w:r w:rsidRPr="00B25A22">
              <w:rPr>
                <w:rFonts w:cs="Times New Roman"/>
                <w:bCs/>
                <w:sz w:val="20"/>
                <w:szCs w:val="20"/>
                <w:lang w:val="cs-CZ"/>
              </w:rPr>
              <w:t>68,8</w:t>
            </w:r>
          </w:p>
        </w:tc>
        <w:tc>
          <w:tcPr>
            <w:tcW w:w="529" w:type="pct"/>
            <w:tcBorders>
              <w:top w:val="nil"/>
              <w:left w:val="nil"/>
              <w:bottom w:val="single" w:sz="4" w:space="0" w:color="auto"/>
              <w:right w:val="single" w:sz="4" w:space="0" w:color="auto"/>
            </w:tcBorders>
            <w:shd w:val="clear" w:color="auto" w:fill="auto"/>
            <w:vAlign w:val="center"/>
            <w:hideMark/>
          </w:tcPr>
          <w:p w14:paraId="0EDE2036"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15</w:t>
            </w:r>
          </w:p>
        </w:tc>
        <w:tc>
          <w:tcPr>
            <w:tcW w:w="554" w:type="pct"/>
            <w:tcBorders>
              <w:top w:val="nil"/>
              <w:left w:val="nil"/>
              <w:bottom w:val="single" w:sz="4" w:space="0" w:color="auto"/>
              <w:right w:val="single" w:sz="4" w:space="0" w:color="auto"/>
            </w:tcBorders>
            <w:shd w:val="clear" w:color="auto" w:fill="auto"/>
            <w:vAlign w:val="center"/>
            <w:hideMark/>
          </w:tcPr>
          <w:p w14:paraId="7A865EE0"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50</w:t>
            </w:r>
          </w:p>
        </w:tc>
        <w:tc>
          <w:tcPr>
            <w:tcW w:w="842" w:type="pct"/>
            <w:tcBorders>
              <w:top w:val="nil"/>
              <w:left w:val="nil"/>
              <w:bottom w:val="single" w:sz="4" w:space="0" w:color="auto"/>
              <w:right w:val="single" w:sz="4" w:space="0" w:color="auto"/>
            </w:tcBorders>
            <w:shd w:val="clear" w:color="auto" w:fill="F2F2F2" w:themeFill="background1" w:themeFillShade="F2"/>
            <w:vAlign w:val="center"/>
            <w:hideMark/>
          </w:tcPr>
          <w:p w14:paraId="0FF2BE79"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173,2</w:t>
            </w:r>
          </w:p>
        </w:tc>
        <w:tc>
          <w:tcPr>
            <w:tcW w:w="720" w:type="pct"/>
            <w:tcBorders>
              <w:top w:val="nil"/>
              <w:left w:val="nil"/>
              <w:bottom w:val="single" w:sz="4" w:space="0" w:color="auto"/>
              <w:right w:val="single" w:sz="4" w:space="0" w:color="auto"/>
            </w:tcBorders>
            <w:shd w:val="clear" w:color="auto" w:fill="F2F2F2" w:themeFill="background1" w:themeFillShade="F2"/>
            <w:vAlign w:val="center"/>
            <w:hideMark/>
          </w:tcPr>
          <w:p w14:paraId="6E81EE9D"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577,3</w:t>
            </w:r>
          </w:p>
        </w:tc>
        <w:tc>
          <w:tcPr>
            <w:tcW w:w="1026" w:type="pct"/>
            <w:tcBorders>
              <w:top w:val="nil"/>
              <w:left w:val="nil"/>
              <w:bottom w:val="single" w:sz="4" w:space="0" w:color="auto"/>
              <w:right w:val="single" w:sz="12" w:space="0" w:color="auto"/>
            </w:tcBorders>
            <w:shd w:val="clear" w:color="auto" w:fill="auto"/>
            <w:vAlign w:val="center"/>
            <w:hideMark/>
          </w:tcPr>
          <w:p w14:paraId="09ABE1E4"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794,1</w:t>
            </w:r>
          </w:p>
        </w:tc>
      </w:tr>
      <w:tr w:rsidR="00AA3A5F" w:rsidRPr="00B25A22" w14:paraId="7A2B7587" w14:textId="77777777" w:rsidTr="007A68D5">
        <w:trPr>
          <w:trHeight w:val="526"/>
        </w:trPr>
        <w:tc>
          <w:tcPr>
            <w:tcW w:w="474" w:type="pct"/>
            <w:tcBorders>
              <w:top w:val="nil"/>
              <w:left w:val="single" w:sz="12" w:space="0" w:color="auto"/>
              <w:bottom w:val="single" w:sz="4" w:space="0" w:color="auto"/>
              <w:right w:val="single" w:sz="4" w:space="0" w:color="auto"/>
            </w:tcBorders>
            <w:shd w:val="clear" w:color="auto" w:fill="auto"/>
            <w:vAlign w:val="center"/>
            <w:hideMark/>
          </w:tcPr>
          <w:p w14:paraId="4EF8306B"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Cukrovka</w:t>
            </w:r>
          </w:p>
        </w:tc>
        <w:tc>
          <w:tcPr>
            <w:tcW w:w="855" w:type="pct"/>
            <w:tcBorders>
              <w:top w:val="nil"/>
              <w:left w:val="nil"/>
              <w:bottom w:val="single" w:sz="4" w:space="0" w:color="auto"/>
              <w:right w:val="single" w:sz="4" w:space="0" w:color="auto"/>
            </w:tcBorders>
            <w:shd w:val="clear" w:color="auto" w:fill="auto"/>
            <w:vAlign w:val="center"/>
            <w:hideMark/>
          </w:tcPr>
          <w:p w14:paraId="22664F91"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w:t>
            </w:r>
          </w:p>
        </w:tc>
        <w:tc>
          <w:tcPr>
            <w:tcW w:w="529" w:type="pct"/>
            <w:tcBorders>
              <w:top w:val="nil"/>
              <w:left w:val="nil"/>
              <w:bottom w:val="single" w:sz="4" w:space="0" w:color="auto"/>
              <w:right w:val="single" w:sz="4" w:space="0" w:color="auto"/>
            </w:tcBorders>
            <w:shd w:val="clear" w:color="auto" w:fill="auto"/>
            <w:vAlign w:val="center"/>
            <w:hideMark/>
          </w:tcPr>
          <w:p w14:paraId="4A072738"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w:t>
            </w:r>
          </w:p>
        </w:tc>
        <w:tc>
          <w:tcPr>
            <w:tcW w:w="554" w:type="pct"/>
            <w:tcBorders>
              <w:top w:val="nil"/>
              <w:left w:val="nil"/>
              <w:bottom w:val="single" w:sz="4" w:space="0" w:color="auto"/>
              <w:right w:val="single" w:sz="4" w:space="0" w:color="auto"/>
            </w:tcBorders>
            <w:shd w:val="clear" w:color="auto" w:fill="auto"/>
            <w:vAlign w:val="center"/>
            <w:hideMark/>
          </w:tcPr>
          <w:p w14:paraId="0F787C5E"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2</w:t>
            </w:r>
          </w:p>
        </w:tc>
        <w:tc>
          <w:tcPr>
            <w:tcW w:w="842" w:type="pct"/>
            <w:tcBorders>
              <w:top w:val="nil"/>
              <w:left w:val="nil"/>
              <w:bottom w:val="single" w:sz="4" w:space="0" w:color="auto"/>
              <w:right w:val="single" w:sz="4" w:space="0" w:color="auto"/>
            </w:tcBorders>
            <w:shd w:val="clear" w:color="auto" w:fill="F2F2F2" w:themeFill="background1" w:themeFillShade="F2"/>
            <w:vAlign w:val="center"/>
            <w:hideMark/>
          </w:tcPr>
          <w:p w14:paraId="1C47E0A4"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0,0</w:t>
            </w:r>
          </w:p>
        </w:tc>
        <w:tc>
          <w:tcPr>
            <w:tcW w:w="720" w:type="pct"/>
            <w:tcBorders>
              <w:top w:val="nil"/>
              <w:left w:val="nil"/>
              <w:bottom w:val="single" w:sz="4" w:space="0" w:color="auto"/>
              <w:right w:val="single" w:sz="4" w:space="0" w:color="auto"/>
            </w:tcBorders>
            <w:shd w:val="clear" w:color="auto" w:fill="F2F2F2" w:themeFill="background1" w:themeFillShade="F2"/>
            <w:vAlign w:val="center"/>
            <w:hideMark/>
          </w:tcPr>
          <w:p w14:paraId="0C81B9CA"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3,3</w:t>
            </w:r>
          </w:p>
        </w:tc>
        <w:tc>
          <w:tcPr>
            <w:tcW w:w="1026" w:type="pct"/>
            <w:tcBorders>
              <w:top w:val="nil"/>
              <w:left w:val="nil"/>
              <w:bottom w:val="single" w:sz="4" w:space="0" w:color="auto"/>
              <w:right w:val="single" w:sz="12" w:space="0" w:color="auto"/>
            </w:tcBorders>
            <w:shd w:val="clear" w:color="auto" w:fill="auto"/>
            <w:vAlign w:val="center"/>
            <w:hideMark/>
          </w:tcPr>
          <w:p w14:paraId="67C1356D"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0,0</w:t>
            </w:r>
          </w:p>
        </w:tc>
      </w:tr>
      <w:tr w:rsidR="00AA3A5F" w:rsidRPr="00B25A22" w14:paraId="4F0068BC" w14:textId="77777777" w:rsidTr="007A68D5">
        <w:trPr>
          <w:trHeight w:val="526"/>
        </w:trPr>
        <w:tc>
          <w:tcPr>
            <w:tcW w:w="474" w:type="pct"/>
            <w:tcBorders>
              <w:top w:val="nil"/>
              <w:left w:val="single" w:sz="12" w:space="0" w:color="auto"/>
              <w:bottom w:val="single" w:sz="4" w:space="0" w:color="auto"/>
              <w:right w:val="single" w:sz="4" w:space="0" w:color="auto"/>
            </w:tcBorders>
            <w:shd w:val="clear" w:color="auto" w:fill="auto"/>
            <w:vAlign w:val="center"/>
            <w:hideMark/>
          </w:tcPr>
          <w:p w14:paraId="7048C190"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Chmel</w:t>
            </w:r>
          </w:p>
        </w:tc>
        <w:tc>
          <w:tcPr>
            <w:tcW w:w="855" w:type="pct"/>
            <w:tcBorders>
              <w:top w:val="nil"/>
              <w:left w:val="nil"/>
              <w:bottom w:val="single" w:sz="4" w:space="0" w:color="auto"/>
              <w:right w:val="single" w:sz="4" w:space="0" w:color="auto"/>
            </w:tcBorders>
            <w:shd w:val="clear" w:color="auto" w:fill="auto"/>
            <w:vAlign w:val="center"/>
            <w:hideMark/>
          </w:tcPr>
          <w:p w14:paraId="3236A587"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w:t>
            </w:r>
          </w:p>
        </w:tc>
        <w:tc>
          <w:tcPr>
            <w:tcW w:w="529" w:type="pct"/>
            <w:tcBorders>
              <w:top w:val="nil"/>
              <w:left w:val="nil"/>
              <w:bottom w:val="single" w:sz="4" w:space="0" w:color="auto"/>
              <w:right w:val="single" w:sz="4" w:space="0" w:color="auto"/>
            </w:tcBorders>
            <w:shd w:val="clear" w:color="auto" w:fill="auto"/>
            <w:vAlign w:val="center"/>
            <w:hideMark/>
          </w:tcPr>
          <w:p w14:paraId="7578FB64"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w:t>
            </w:r>
          </w:p>
        </w:tc>
        <w:tc>
          <w:tcPr>
            <w:tcW w:w="554" w:type="pct"/>
            <w:tcBorders>
              <w:top w:val="nil"/>
              <w:left w:val="nil"/>
              <w:bottom w:val="single" w:sz="4" w:space="0" w:color="auto"/>
              <w:right w:val="single" w:sz="4" w:space="0" w:color="auto"/>
            </w:tcBorders>
            <w:shd w:val="clear" w:color="auto" w:fill="auto"/>
            <w:vAlign w:val="center"/>
            <w:hideMark/>
          </w:tcPr>
          <w:p w14:paraId="3D5112E1"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28</w:t>
            </w:r>
          </w:p>
        </w:tc>
        <w:tc>
          <w:tcPr>
            <w:tcW w:w="842" w:type="pct"/>
            <w:tcBorders>
              <w:top w:val="nil"/>
              <w:left w:val="nil"/>
              <w:bottom w:val="single" w:sz="4" w:space="0" w:color="auto"/>
              <w:right w:val="single" w:sz="4" w:space="0" w:color="auto"/>
            </w:tcBorders>
            <w:shd w:val="clear" w:color="auto" w:fill="F2F2F2" w:themeFill="background1" w:themeFillShade="F2"/>
            <w:vAlign w:val="center"/>
            <w:hideMark/>
          </w:tcPr>
          <w:p w14:paraId="6A4E1CC6"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0,0</w:t>
            </w:r>
          </w:p>
        </w:tc>
        <w:tc>
          <w:tcPr>
            <w:tcW w:w="720" w:type="pct"/>
            <w:tcBorders>
              <w:top w:val="nil"/>
              <w:left w:val="nil"/>
              <w:bottom w:val="single" w:sz="4" w:space="0" w:color="auto"/>
              <w:right w:val="single" w:sz="4" w:space="0" w:color="auto"/>
            </w:tcBorders>
            <w:shd w:val="clear" w:color="auto" w:fill="F2F2F2" w:themeFill="background1" w:themeFillShade="F2"/>
            <w:vAlign w:val="center"/>
            <w:hideMark/>
          </w:tcPr>
          <w:p w14:paraId="51B2CC5E"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20,4</w:t>
            </w:r>
          </w:p>
        </w:tc>
        <w:tc>
          <w:tcPr>
            <w:tcW w:w="1026" w:type="pct"/>
            <w:tcBorders>
              <w:top w:val="nil"/>
              <w:left w:val="nil"/>
              <w:bottom w:val="single" w:sz="4" w:space="0" w:color="auto"/>
              <w:right w:val="single" w:sz="12" w:space="0" w:color="auto"/>
            </w:tcBorders>
            <w:shd w:val="clear" w:color="auto" w:fill="auto"/>
            <w:vAlign w:val="center"/>
            <w:hideMark/>
          </w:tcPr>
          <w:p w14:paraId="53571654"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0,0</w:t>
            </w:r>
          </w:p>
        </w:tc>
      </w:tr>
      <w:tr w:rsidR="00AA3A5F" w:rsidRPr="00B25A22" w14:paraId="43C5C877" w14:textId="77777777" w:rsidTr="007A68D5">
        <w:trPr>
          <w:trHeight w:val="526"/>
        </w:trPr>
        <w:tc>
          <w:tcPr>
            <w:tcW w:w="474" w:type="pct"/>
            <w:tcBorders>
              <w:top w:val="single" w:sz="12" w:space="0" w:color="auto"/>
              <w:left w:val="single" w:sz="12" w:space="0" w:color="auto"/>
              <w:bottom w:val="single" w:sz="12" w:space="0" w:color="auto"/>
              <w:right w:val="single" w:sz="4" w:space="0" w:color="auto"/>
            </w:tcBorders>
            <w:shd w:val="clear" w:color="auto" w:fill="auto"/>
            <w:vAlign w:val="center"/>
          </w:tcPr>
          <w:p w14:paraId="5DBED46E"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Celkem</w:t>
            </w:r>
          </w:p>
        </w:tc>
        <w:tc>
          <w:tcPr>
            <w:tcW w:w="855" w:type="pct"/>
            <w:tcBorders>
              <w:top w:val="single" w:sz="12" w:space="0" w:color="auto"/>
              <w:left w:val="single" w:sz="4" w:space="0" w:color="auto"/>
              <w:bottom w:val="single" w:sz="12" w:space="0" w:color="auto"/>
              <w:right w:val="single" w:sz="4" w:space="0" w:color="auto"/>
            </w:tcBorders>
            <w:shd w:val="clear" w:color="auto" w:fill="auto"/>
            <w:vAlign w:val="center"/>
          </w:tcPr>
          <w:p w14:paraId="7CE85B85" w14:textId="77777777" w:rsidR="00AA3A5F" w:rsidRPr="00B25A22" w:rsidRDefault="00AA3A5F" w:rsidP="007A68D5">
            <w:pPr>
              <w:jc w:val="center"/>
              <w:rPr>
                <w:rFonts w:cs="Times New Roman"/>
                <w:bCs/>
                <w:sz w:val="20"/>
                <w:szCs w:val="20"/>
                <w:lang w:val="cs-CZ"/>
              </w:rPr>
            </w:pPr>
          </w:p>
        </w:tc>
        <w:tc>
          <w:tcPr>
            <w:tcW w:w="529" w:type="pct"/>
            <w:tcBorders>
              <w:top w:val="single" w:sz="12" w:space="0" w:color="auto"/>
              <w:left w:val="nil"/>
              <w:bottom w:val="single" w:sz="12" w:space="0" w:color="auto"/>
              <w:right w:val="single" w:sz="4" w:space="0" w:color="auto"/>
            </w:tcBorders>
            <w:shd w:val="clear" w:color="auto" w:fill="auto"/>
            <w:vAlign w:val="center"/>
          </w:tcPr>
          <w:p w14:paraId="790BFC2B" w14:textId="77777777" w:rsidR="00AA3A5F" w:rsidRPr="00B25A22" w:rsidRDefault="00AA3A5F" w:rsidP="007A68D5">
            <w:pPr>
              <w:jc w:val="center"/>
              <w:rPr>
                <w:rFonts w:cs="Times New Roman"/>
                <w:sz w:val="20"/>
                <w:szCs w:val="20"/>
                <w:lang w:val="cs-CZ"/>
              </w:rPr>
            </w:pPr>
          </w:p>
        </w:tc>
        <w:tc>
          <w:tcPr>
            <w:tcW w:w="554" w:type="pct"/>
            <w:tcBorders>
              <w:top w:val="single" w:sz="12" w:space="0" w:color="auto"/>
              <w:left w:val="nil"/>
              <w:bottom w:val="single" w:sz="12" w:space="0" w:color="auto"/>
              <w:right w:val="single" w:sz="4" w:space="0" w:color="auto"/>
            </w:tcBorders>
            <w:shd w:val="clear" w:color="auto" w:fill="auto"/>
            <w:vAlign w:val="center"/>
          </w:tcPr>
          <w:p w14:paraId="5BD5EB64" w14:textId="77777777" w:rsidR="00AA3A5F" w:rsidRPr="00B25A22" w:rsidRDefault="00AA3A5F" w:rsidP="007A68D5">
            <w:pPr>
              <w:jc w:val="center"/>
              <w:rPr>
                <w:rFonts w:cs="Times New Roman"/>
                <w:sz w:val="20"/>
                <w:szCs w:val="20"/>
                <w:lang w:val="cs-CZ"/>
              </w:rPr>
            </w:pPr>
          </w:p>
        </w:tc>
        <w:tc>
          <w:tcPr>
            <w:tcW w:w="842" w:type="pct"/>
            <w:tcBorders>
              <w:top w:val="single" w:sz="12" w:space="0" w:color="auto"/>
              <w:left w:val="nil"/>
              <w:bottom w:val="single" w:sz="12" w:space="0" w:color="auto"/>
              <w:right w:val="single" w:sz="4" w:space="0" w:color="auto"/>
            </w:tcBorders>
            <w:shd w:val="clear" w:color="auto" w:fill="F2F2F2" w:themeFill="background1" w:themeFillShade="F2"/>
            <w:vAlign w:val="center"/>
          </w:tcPr>
          <w:p w14:paraId="38B43937"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200,6</w:t>
            </w:r>
          </w:p>
        </w:tc>
        <w:tc>
          <w:tcPr>
            <w:tcW w:w="720" w:type="pct"/>
            <w:tcBorders>
              <w:top w:val="single" w:sz="12" w:space="0" w:color="auto"/>
              <w:left w:val="nil"/>
              <w:bottom w:val="single" w:sz="12" w:space="0" w:color="auto"/>
              <w:right w:val="single" w:sz="4" w:space="0" w:color="auto"/>
            </w:tcBorders>
            <w:shd w:val="clear" w:color="auto" w:fill="F2F2F2" w:themeFill="background1" w:themeFillShade="F2"/>
            <w:vAlign w:val="center"/>
          </w:tcPr>
          <w:p w14:paraId="7503BD4E"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692,2</w:t>
            </w:r>
          </w:p>
        </w:tc>
        <w:tc>
          <w:tcPr>
            <w:tcW w:w="1026" w:type="pct"/>
            <w:tcBorders>
              <w:top w:val="single" w:sz="12" w:space="0" w:color="auto"/>
              <w:left w:val="nil"/>
              <w:bottom w:val="single" w:sz="12" w:space="0" w:color="auto"/>
              <w:right w:val="single" w:sz="12" w:space="0" w:color="auto"/>
            </w:tcBorders>
            <w:shd w:val="clear" w:color="auto" w:fill="auto"/>
            <w:vAlign w:val="center"/>
          </w:tcPr>
          <w:p w14:paraId="2B8260BC"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838,8</w:t>
            </w:r>
          </w:p>
        </w:tc>
      </w:tr>
      <w:tr w:rsidR="00AA3A5F" w:rsidRPr="00B25A22" w14:paraId="08B84A98" w14:textId="77777777" w:rsidTr="007A68D5">
        <w:trPr>
          <w:trHeight w:val="526"/>
        </w:trPr>
        <w:tc>
          <w:tcPr>
            <w:tcW w:w="474" w:type="pct"/>
            <w:tcBorders>
              <w:top w:val="single" w:sz="12" w:space="0" w:color="auto"/>
              <w:left w:val="single" w:sz="12" w:space="0" w:color="auto"/>
              <w:bottom w:val="single" w:sz="12" w:space="0" w:color="auto"/>
              <w:right w:val="single" w:sz="4" w:space="0" w:color="auto"/>
            </w:tcBorders>
            <w:shd w:val="clear" w:color="auto" w:fill="auto"/>
            <w:vAlign w:val="center"/>
            <w:hideMark/>
          </w:tcPr>
          <w:p w14:paraId="15A8519A"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OZEL celkem</w:t>
            </w:r>
          </w:p>
        </w:tc>
        <w:tc>
          <w:tcPr>
            <w:tcW w:w="855" w:type="pct"/>
            <w:tcBorders>
              <w:top w:val="single" w:sz="12" w:space="0" w:color="auto"/>
              <w:left w:val="single" w:sz="4" w:space="0" w:color="auto"/>
              <w:bottom w:val="single" w:sz="12" w:space="0" w:color="auto"/>
              <w:right w:val="single" w:sz="4" w:space="0" w:color="auto"/>
            </w:tcBorders>
            <w:shd w:val="clear" w:color="auto" w:fill="auto"/>
            <w:vAlign w:val="center"/>
            <w:hideMark/>
          </w:tcPr>
          <w:p w14:paraId="754F48A6" w14:textId="77777777" w:rsidR="00AA3A5F" w:rsidRPr="00B25A22" w:rsidRDefault="00AA3A5F" w:rsidP="007A68D5">
            <w:pPr>
              <w:jc w:val="center"/>
              <w:rPr>
                <w:rFonts w:cs="Times New Roman"/>
                <w:bCs/>
                <w:sz w:val="20"/>
                <w:szCs w:val="20"/>
                <w:lang w:val="cs-CZ"/>
              </w:rPr>
            </w:pPr>
            <w:r w:rsidRPr="00B25A22">
              <w:rPr>
                <w:rFonts w:cs="Times New Roman"/>
                <w:bCs/>
                <w:sz w:val="20"/>
                <w:szCs w:val="20"/>
                <w:lang w:val="cs-CZ"/>
              </w:rPr>
              <w:t>36,5</w:t>
            </w:r>
          </w:p>
        </w:tc>
        <w:tc>
          <w:tcPr>
            <w:tcW w:w="529" w:type="pct"/>
            <w:tcBorders>
              <w:top w:val="single" w:sz="12" w:space="0" w:color="auto"/>
              <w:left w:val="nil"/>
              <w:bottom w:val="single" w:sz="12" w:space="0" w:color="auto"/>
              <w:right w:val="single" w:sz="4" w:space="0" w:color="auto"/>
            </w:tcBorders>
            <w:shd w:val="clear" w:color="auto" w:fill="auto"/>
            <w:vAlign w:val="center"/>
            <w:hideMark/>
          </w:tcPr>
          <w:p w14:paraId="7DA301FC"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36</w:t>
            </w:r>
          </w:p>
        </w:tc>
        <w:tc>
          <w:tcPr>
            <w:tcW w:w="554" w:type="pct"/>
            <w:tcBorders>
              <w:top w:val="single" w:sz="12" w:space="0" w:color="auto"/>
              <w:left w:val="nil"/>
              <w:bottom w:val="single" w:sz="12" w:space="0" w:color="auto"/>
              <w:right w:val="single" w:sz="4" w:space="0" w:color="auto"/>
            </w:tcBorders>
            <w:shd w:val="clear" w:color="auto" w:fill="auto"/>
            <w:vAlign w:val="center"/>
            <w:hideMark/>
          </w:tcPr>
          <w:p w14:paraId="71902026"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40</w:t>
            </w:r>
          </w:p>
        </w:tc>
        <w:tc>
          <w:tcPr>
            <w:tcW w:w="842" w:type="pct"/>
            <w:tcBorders>
              <w:top w:val="single" w:sz="12" w:space="0" w:color="auto"/>
              <w:left w:val="nil"/>
              <w:bottom w:val="single" w:sz="12" w:space="0" w:color="auto"/>
              <w:right w:val="single" w:sz="4" w:space="0" w:color="auto"/>
            </w:tcBorders>
            <w:shd w:val="clear" w:color="auto" w:fill="F2F2F2" w:themeFill="background1" w:themeFillShade="F2"/>
            <w:vAlign w:val="center"/>
            <w:hideMark/>
          </w:tcPr>
          <w:p w14:paraId="412E3888"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116,3</w:t>
            </w:r>
          </w:p>
        </w:tc>
        <w:tc>
          <w:tcPr>
            <w:tcW w:w="720" w:type="pct"/>
            <w:tcBorders>
              <w:top w:val="single" w:sz="12" w:space="0" w:color="auto"/>
              <w:left w:val="nil"/>
              <w:bottom w:val="single" w:sz="12" w:space="0" w:color="auto"/>
              <w:right w:val="single" w:sz="4" w:space="0" w:color="auto"/>
            </w:tcBorders>
            <w:shd w:val="clear" w:color="auto" w:fill="F2F2F2" w:themeFill="background1" w:themeFillShade="F2"/>
            <w:vAlign w:val="center"/>
            <w:hideMark/>
          </w:tcPr>
          <w:p w14:paraId="253B9472"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155,0</w:t>
            </w:r>
          </w:p>
        </w:tc>
        <w:tc>
          <w:tcPr>
            <w:tcW w:w="1026" w:type="pct"/>
            <w:tcBorders>
              <w:top w:val="single" w:sz="12" w:space="0" w:color="auto"/>
              <w:left w:val="nil"/>
              <w:bottom w:val="single" w:sz="12" w:space="0" w:color="auto"/>
              <w:right w:val="single" w:sz="12" w:space="0" w:color="auto"/>
            </w:tcBorders>
            <w:shd w:val="clear" w:color="auto" w:fill="auto"/>
            <w:vAlign w:val="center"/>
            <w:hideMark/>
          </w:tcPr>
          <w:p w14:paraId="79BAA77C" w14:textId="77777777" w:rsidR="00AA3A5F" w:rsidRPr="00B25A22" w:rsidRDefault="00AA3A5F" w:rsidP="007A68D5">
            <w:pPr>
              <w:jc w:val="center"/>
              <w:rPr>
                <w:rFonts w:cs="Times New Roman"/>
                <w:sz w:val="20"/>
                <w:szCs w:val="20"/>
                <w:lang w:val="cs-CZ"/>
              </w:rPr>
            </w:pPr>
            <w:r w:rsidRPr="00B25A22">
              <w:rPr>
                <w:rFonts w:cs="Times New Roman"/>
                <w:sz w:val="20"/>
                <w:szCs w:val="20"/>
                <w:lang w:val="cs-CZ"/>
              </w:rPr>
              <w:t>141,6</w:t>
            </w:r>
          </w:p>
        </w:tc>
      </w:tr>
    </w:tbl>
    <w:p w14:paraId="21125727" w14:textId="77777777" w:rsidR="00AA3A5F" w:rsidRPr="00B25A22" w:rsidRDefault="00AA3A5F" w:rsidP="00517F5D">
      <w:pPr>
        <w:pStyle w:val="UZEIZdroj"/>
      </w:pPr>
      <w:r w:rsidRPr="00B25A22">
        <w:t>1) Odhad proveden ke konci roku 2018. Upřesněn byl v následném období profesními svazy, viz dále v textu. Komentář k provedeným odhadům je obsažen v tabulce 3. 2) Tržby uvažovány jako průměr let 2015 až 2017. Tržby OP v odvětví vepřové maso, hovězí a telecí maso a vejce byly převzaty z veřejně dostupných zdrojů. Tržby v odvětví mléko byly vypočteny jako součin obchodované produkce a průměrné CZV mléka. Tržby OP OZEL byly převzaty z podkladů SZIF.</w:t>
      </w:r>
    </w:p>
    <w:p w14:paraId="57A633E8" w14:textId="77777777" w:rsidR="00AA3A5F" w:rsidRPr="00B25A22" w:rsidRDefault="00AA3A5F" w:rsidP="00517F5D">
      <w:pPr>
        <w:pStyle w:val="UZEIZdroj"/>
        <w:rPr>
          <w:sz w:val="22"/>
        </w:rPr>
      </w:pPr>
      <w:r w:rsidRPr="00B25A22">
        <w:t>Pramen: Vlastní sestavení ÚZEI</w:t>
      </w:r>
    </w:p>
    <w:p w14:paraId="1E2222BA" w14:textId="77777777" w:rsidR="00AA3A5F" w:rsidRPr="00B25A22" w:rsidRDefault="00AA3A5F" w:rsidP="00AA3A5F">
      <w:pPr>
        <w:rPr>
          <w:rFonts w:cs="Times New Roman"/>
          <w:b/>
          <w:bCs/>
          <w:color w:val="000000"/>
          <w:sz w:val="22"/>
          <w:lang w:val="cs-CZ"/>
        </w:rPr>
      </w:pPr>
    </w:p>
    <w:p w14:paraId="1E9AEC13" w14:textId="77777777" w:rsidR="00AA3A5F" w:rsidRPr="00B25A22" w:rsidRDefault="00AA3A5F" w:rsidP="00AA3A5F">
      <w:pPr>
        <w:rPr>
          <w:rFonts w:cs="Times New Roman"/>
          <w:b/>
          <w:bCs/>
          <w:color w:val="000000"/>
          <w:sz w:val="22"/>
          <w:lang w:val="cs-CZ"/>
        </w:rPr>
      </w:pPr>
    </w:p>
    <w:p w14:paraId="385F58B7" w14:textId="0A72AEE9" w:rsidR="00AA3A5F" w:rsidRPr="00B25A22" w:rsidRDefault="00517F5D" w:rsidP="00517F5D">
      <w:pPr>
        <w:pStyle w:val="UZEITaB"/>
        <w:rPr>
          <w:rFonts w:eastAsia="Calibri"/>
        </w:rPr>
      </w:pPr>
      <w:r>
        <w:lastRenderedPageBreak/>
        <w:t xml:space="preserve"> </w:t>
      </w:r>
      <w:bookmarkStart w:id="61" w:name="_Toc81743451"/>
      <w:r w:rsidR="00AA3A5F" w:rsidRPr="00B25A22">
        <w:t>Komentář k odhadovanému potenciálu odvětví k využití odvětvových intervencí</w:t>
      </w:r>
      <w:bookmarkEnd w:id="61"/>
    </w:p>
    <w:tbl>
      <w:tblPr>
        <w:tblW w:w="1373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0"/>
        <w:gridCol w:w="12535"/>
      </w:tblGrid>
      <w:tr w:rsidR="00AA3A5F" w:rsidRPr="000703B9" w14:paraId="6384B9B2" w14:textId="77777777" w:rsidTr="007A68D5">
        <w:trPr>
          <w:trHeight w:val="1199"/>
        </w:trPr>
        <w:tc>
          <w:tcPr>
            <w:tcW w:w="1200" w:type="dxa"/>
            <w:shd w:val="clear" w:color="auto" w:fill="auto"/>
            <w:vAlign w:val="center"/>
            <w:hideMark/>
          </w:tcPr>
          <w:p w14:paraId="3CDB26B8" w14:textId="77777777" w:rsidR="00AA3A5F" w:rsidRPr="00B25A22" w:rsidRDefault="00AA3A5F" w:rsidP="007A68D5">
            <w:pPr>
              <w:jc w:val="left"/>
              <w:rPr>
                <w:rFonts w:cs="Times New Roman"/>
                <w:color w:val="000000"/>
                <w:sz w:val="18"/>
                <w:szCs w:val="18"/>
                <w:lang w:val="cs-CZ"/>
              </w:rPr>
            </w:pPr>
            <w:r w:rsidRPr="00B25A22">
              <w:rPr>
                <w:rFonts w:cs="Times New Roman"/>
                <w:color w:val="000000"/>
                <w:sz w:val="18"/>
                <w:szCs w:val="18"/>
                <w:lang w:val="cs-CZ"/>
              </w:rPr>
              <w:t>Vepřové maso</w:t>
            </w:r>
          </w:p>
        </w:tc>
        <w:tc>
          <w:tcPr>
            <w:tcW w:w="12535" w:type="dxa"/>
            <w:shd w:val="clear" w:color="auto" w:fill="auto"/>
            <w:vAlign w:val="center"/>
            <w:hideMark/>
          </w:tcPr>
          <w:p w14:paraId="3E692A33" w14:textId="77777777" w:rsidR="00AA3A5F" w:rsidRPr="00B25A22" w:rsidRDefault="00AA3A5F" w:rsidP="007A68D5">
            <w:pPr>
              <w:jc w:val="left"/>
              <w:rPr>
                <w:rFonts w:cs="Times New Roman"/>
                <w:sz w:val="18"/>
                <w:szCs w:val="18"/>
                <w:lang w:val="cs-CZ"/>
              </w:rPr>
            </w:pPr>
            <w:r w:rsidRPr="00B25A22">
              <w:rPr>
                <w:rFonts w:cs="Times New Roman"/>
                <w:sz w:val="18"/>
                <w:szCs w:val="18"/>
                <w:lang w:val="cs-CZ"/>
              </w:rPr>
              <w:t xml:space="preserve">Sdružování bude bránit vysoká koncentrace výroby a majetkové propojení v rámci holdingů. Předpokládáme, že velké a majetkově propojené podniky nebudou mít o sdružování zájem. Dle informace Svazu chovatelů prasat není v odvětví možné sdílet příliš aktivit. Určitý potenciál by měla organizovaná doprava prasat na jatka. V budování systémů kvality je překážkou nestálost vertikálních vazeb Popsáno v textu) nebo naopak holdingové vazby (tedy předpokládané nepřijatelné vazby pro systém OI). </w:t>
            </w:r>
          </w:p>
        </w:tc>
      </w:tr>
      <w:tr w:rsidR="00AA3A5F" w:rsidRPr="000703B9" w14:paraId="4E008B64" w14:textId="77777777" w:rsidTr="007A68D5">
        <w:trPr>
          <w:trHeight w:val="550"/>
        </w:trPr>
        <w:tc>
          <w:tcPr>
            <w:tcW w:w="1200" w:type="dxa"/>
            <w:shd w:val="clear" w:color="auto" w:fill="auto"/>
            <w:vAlign w:val="center"/>
            <w:hideMark/>
          </w:tcPr>
          <w:p w14:paraId="75D4D354" w14:textId="77777777" w:rsidR="00AA3A5F" w:rsidRPr="00B25A22" w:rsidRDefault="00AA3A5F" w:rsidP="007A68D5">
            <w:pPr>
              <w:jc w:val="left"/>
              <w:rPr>
                <w:rFonts w:cs="Times New Roman"/>
                <w:sz w:val="18"/>
                <w:szCs w:val="18"/>
                <w:lang w:val="cs-CZ"/>
              </w:rPr>
            </w:pPr>
            <w:r w:rsidRPr="00B25A22">
              <w:rPr>
                <w:rFonts w:cs="Times New Roman"/>
                <w:sz w:val="18"/>
                <w:szCs w:val="18"/>
                <w:lang w:val="cs-CZ"/>
              </w:rPr>
              <w:t>Hovězí a tel. maso</w:t>
            </w:r>
          </w:p>
        </w:tc>
        <w:tc>
          <w:tcPr>
            <w:tcW w:w="12535" w:type="dxa"/>
            <w:shd w:val="clear" w:color="auto" w:fill="auto"/>
            <w:vAlign w:val="center"/>
            <w:hideMark/>
          </w:tcPr>
          <w:p w14:paraId="00BC2C6A" w14:textId="77777777" w:rsidR="00AA3A5F" w:rsidRPr="00B25A22" w:rsidRDefault="00AA3A5F" w:rsidP="007A68D5">
            <w:pPr>
              <w:jc w:val="left"/>
              <w:rPr>
                <w:rFonts w:cs="Times New Roman"/>
                <w:sz w:val="18"/>
                <w:szCs w:val="18"/>
                <w:lang w:val="cs-CZ"/>
              </w:rPr>
            </w:pPr>
            <w:r w:rsidRPr="00B25A22">
              <w:rPr>
                <w:rFonts w:cs="Times New Roman"/>
                <w:sz w:val="18"/>
                <w:szCs w:val="18"/>
                <w:lang w:val="cs-CZ"/>
              </w:rPr>
              <w:t xml:space="preserve">Optimistický odhad je založen na předpokladu fúze stávající uznané OP s jinou významnou OP a tím rozšíření obratu za hovězí maso, ev. vzniku nových, avšak minoritních, OP.   </w:t>
            </w:r>
          </w:p>
        </w:tc>
      </w:tr>
      <w:tr w:rsidR="00AA3A5F" w:rsidRPr="000703B9" w14:paraId="506D2FE4" w14:textId="77777777" w:rsidTr="007A68D5">
        <w:trPr>
          <w:trHeight w:val="645"/>
        </w:trPr>
        <w:tc>
          <w:tcPr>
            <w:tcW w:w="1200" w:type="dxa"/>
            <w:shd w:val="clear" w:color="auto" w:fill="auto"/>
            <w:vAlign w:val="center"/>
            <w:hideMark/>
          </w:tcPr>
          <w:p w14:paraId="05F04D9B" w14:textId="77777777" w:rsidR="00AA3A5F" w:rsidRPr="00B25A22" w:rsidRDefault="00AA3A5F" w:rsidP="007A68D5">
            <w:pPr>
              <w:jc w:val="left"/>
              <w:rPr>
                <w:rFonts w:cs="Times New Roman"/>
                <w:sz w:val="18"/>
                <w:szCs w:val="18"/>
                <w:lang w:val="cs-CZ"/>
              </w:rPr>
            </w:pPr>
            <w:r w:rsidRPr="00B25A22">
              <w:rPr>
                <w:rFonts w:cs="Times New Roman"/>
                <w:sz w:val="18"/>
                <w:szCs w:val="18"/>
                <w:lang w:val="cs-CZ"/>
              </w:rPr>
              <w:t>Drůbež</w:t>
            </w:r>
          </w:p>
        </w:tc>
        <w:tc>
          <w:tcPr>
            <w:tcW w:w="12535" w:type="dxa"/>
            <w:shd w:val="clear" w:color="auto" w:fill="auto"/>
            <w:vAlign w:val="center"/>
          </w:tcPr>
          <w:p w14:paraId="6EDDDCD1" w14:textId="77777777" w:rsidR="00AA3A5F" w:rsidRPr="00B25A22" w:rsidRDefault="00AA3A5F" w:rsidP="007A68D5">
            <w:pPr>
              <w:jc w:val="left"/>
              <w:rPr>
                <w:rFonts w:cs="Times New Roman"/>
                <w:sz w:val="18"/>
                <w:szCs w:val="18"/>
                <w:lang w:val="cs-CZ"/>
              </w:rPr>
            </w:pPr>
            <w:r w:rsidRPr="00B25A22">
              <w:rPr>
                <w:rFonts w:cs="Times New Roman"/>
                <w:sz w:val="18"/>
                <w:szCs w:val="18"/>
                <w:lang w:val="cs-CZ"/>
              </w:rPr>
              <w:t>Sdružování bude bránit vysoká koncentrace výroby a majetkové propojení v rámci holdingů. Opakované výzvy CMDU se setkaly s negativní reakcí chovatelů a neochotou ke sdružování.</w:t>
            </w:r>
          </w:p>
        </w:tc>
      </w:tr>
      <w:tr w:rsidR="00AA3A5F" w:rsidRPr="00B25A22" w14:paraId="7DAF1D9B" w14:textId="77777777" w:rsidTr="007A68D5">
        <w:trPr>
          <w:trHeight w:val="602"/>
        </w:trPr>
        <w:tc>
          <w:tcPr>
            <w:tcW w:w="1200" w:type="dxa"/>
            <w:shd w:val="clear" w:color="auto" w:fill="auto"/>
            <w:vAlign w:val="center"/>
            <w:hideMark/>
          </w:tcPr>
          <w:p w14:paraId="07D32250" w14:textId="77777777" w:rsidR="00AA3A5F" w:rsidRPr="00B25A22" w:rsidRDefault="00AA3A5F" w:rsidP="007A68D5">
            <w:pPr>
              <w:jc w:val="left"/>
              <w:rPr>
                <w:rFonts w:cs="Times New Roman"/>
                <w:iCs/>
                <w:sz w:val="18"/>
                <w:szCs w:val="18"/>
                <w:lang w:val="cs-CZ"/>
              </w:rPr>
            </w:pPr>
            <w:r w:rsidRPr="00B25A22">
              <w:rPr>
                <w:rFonts w:cs="Times New Roman"/>
                <w:iCs/>
                <w:sz w:val="18"/>
                <w:szCs w:val="18"/>
                <w:lang w:val="cs-CZ"/>
              </w:rPr>
              <w:t>Vejce</w:t>
            </w:r>
          </w:p>
        </w:tc>
        <w:tc>
          <w:tcPr>
            <w:tcW w:w="12535" w:type="dxa"/>
            <w:shd w:val="clear" w:color="auto" w:fill="auto"/>
            <w:vAlign w:val="center"/>
            <w:hideMark/>
          </w:tcPr>
          <w:p w14:paraId="49D7FA6E" w14:textId="77777777" w:rsidR="00AA3A5F" w:rsidRPr="00B25A22" w:rsidRDefault="00AA3A5F" w:rsidP="007A68D5">
            <w:pPr>
              <w:jc w:val="left"/>
              <w:rPr>
                <w:rFonts w:cs="Times New Roman"/>
                <w:sz w:val="18"/>
                <w:szCs w:val="18"/>
                <w:lang w:val="cs-CZ"/>
              </w:rPr>
            </w:pPr>
            <w:r w:rsidRPr="00B25A22">
              <w:rPr>
                <w:rFonts w:cs="Times New Roman"/>
                <w:sz w:val="18"/>
                <w:szCs w:val="18"/>
                <w:lang w:val="cs-CZ"/>
              </w:rPr>
              <w:t>Stávající uznaná OP má velký zájem o využití OI a sestavení OPR. V diskusi s ÚZEI vytipovala konkrétní cíle a opatření, které by využila. Přiložen vyplněný dotazník. Minimalistický odhad počítá s tím, že by případného OP malá část členů nevyužila. Více pravděpodobný je však optimistický odhad. CMDU potvrzuje zájem další velké skupiny zemědělských podniků. Vyjádření CMDU v příloze 1.</w:t>
            </w:r>
          </w:p>
        </w:tc>
      </w:tr>
      <w:tr w:rsidR="00AA3A5F" w:rsidRPr="00B25A22" w14:paraId="4B234EC5" w14:textId="77777777" w:rsidTr="007A68D5">
        <w:trPr>
          <w:trHeight w:val="1142"/>
        </w:trPr>
        <w:tc>
          <w:tcPr>
            <w:tcW w:w="1200" w:type="dxa"/>
            <w:shd w:val="clear" w:color="auto" w:fill="auto"/>
            <w:vAlign w:val="center"/>
            <w:hideMark/>
          </w:tcPr>
          <w:p w14:paraId="420FC6BC" w14:textId="77777777" w:rsidR="00AA3A5F" w:rsidRPr="00B25A22" w:rsidRDefault="00AA3A5F" w:rsidP="007A68D5">
            <w:pPr>
              <w:jc w:val="left"/>
              <w:rPr>
                <w:rFonts w:cs="Times New Roman"/>
                <w:color w:val="000000"/>
                <w:sz w:val="18"/>
                <w:szCs w:val="18"/>
                <w:lang w:val="cs-CZ"/>
              </w:rPr>
            </w:pPr>
            <w:r w:rsidRPr="00B25A22">
              <w:rPr>
                <w:rFonts w:cs="Times New Roman"/>
                <w:color w:val="000000"/>
                <w:sz w:val="18"/>
                <w:szCs w:val="18"/>
                <w:lang w:val="cs-CZ"/>
              </w:rPr>
              <w:t>Mléko</w:t>
            </w:r>
          </w:p>
        </w:tc>
        <w:tc>
          <w:tcPr>
            <w:tcW w:w="12535" w:type="dxa"/>
            <w:shd w:val="clear" w:color="auto" w:fill="auto"/>
            <w:vAlign w:val="center"/>
            <w:hideMark/>
          </w:tcPr>
          <w:p w14:paraId="7247E4D9" w14:textId="77777777" w:rsidR="00AA3A5F" w:rsidRPr="00B25A22" w:rsidRDefault="00AA3A5F" w:rsidP="007A68D5">
            <w:pPr>
              <w:jc w:val="left"/>
              <w:rPr>
                <w:rFonts w:cs="Times New Roman"/>
                <w:sz w:val="18"/>
                <w:szCs w:val="18"/>
                <w:lang w:val="cs-CZ"/>
              </w:rPr>
            </w:pPr>
            <w:r w:rsidRPr="00B25A22">
              <w:rPr>
                <w:rFonts w:cs="Times New Roman"/>
                <w:sz w:val="18"/>
                <w:szCs w:val="18"/>
                <w:lang w:val="cs-CZ"/>
              </w:rPr>
              <w:t xml:space="preserve">Celkem 41 % tržní produkce obchodují čtyři velké OP. Tři z nich mají potenciál využití OI, při osobním jednání s ÚZEI projevily zájem o OI a připravenost zformulovat OPR. Není však zřejmé, zda by se účastnili všichni členové. Jedna velká OP se vyjádřila, že zájem nemá. S ohledem na organizovanost odvětví spatřujeme potenciál rovněž u části menších OP. Vznik nových sdružení spíše nepředpokládáme, ale předpokládáme zvýšení zájmu producentů o členství ve stávajících OP, pokud by tyto sestavily OPR a získaly finanční podpory. Část potenciálu je založena na mezioborových organizacích. </w:t>
            </w:r>
          </w:p>
        </w:tc>
      </w:tr>
      <w:tr w:rsidR="00AA3A5F" w:rsidRPr="000703B9" w14:paraId="528DE8C7" w14:textId="77777777" w:rsidTr="007A68D5">
        <w:trPr>
          <w:trHeight w:val="900"/>
        </w:trPr>
        <w:tc>
          <w:tcPr>
            <w:tcW w:w="1200" w:type="dxa"/>
            <w:shd w:val="clear" w:color="auto" w:fill="auto"/>
            <w:vAlign w:val="center"/>
            <w:hideMark/>
          </w:tcPr>
          <w:p w14:paraId="2491B1D0" w14:textId="77777777" w:rsidR="00AA3A5F" w:rsidRPr="00B25A22" w:rsidRDefault="00AA3A5F" w:rsidP="007A68D5">
            <w:pPr>
              <w:jc w:val="left"/>
              <w:rPr>
                <w:rFonts w:cs="Times New Roman"/>
                <w:color w:val="000000"/>
                <w:sz w:val="18"/>
                <w:szCs w:val="18"/>
                <w:lang w:val="cs-CZ"/>
              </w:rPr>
            </w:pPr>
            <w:r w:rsidRPr="00B25A22">
              <w:rPr>
                <w:rFonts w:cs="Times New Roman"/>
                <w:color w:val="000000"/>
                <w:sz w:val="18"/>
                <w:szCs w:val="18"/>
                <w:lang w:val="cs-CZ"/>
              </w:rPr>
              <w:t>Cukrovka</w:t>
            </w:r>
          </w:p>
        </w:tc>
        <w:tc>
          <w:tcPr>
            <w:tcW w:w="12535" w:type="dxa"/>
            <w:shd w:val="clear" w:color="auto" w:fill="auto"/>
            <w:vAlign w:val="center"/>
            <w:hideMark/>
          </w:tcPr>
          <w:p w14:paraId="045F2EAA" w14:textId="77777777" w:rsidR="00AA3A5F" w:rsidRPr="00B25A22" w:rsidRDefault="00AA3A5F" w:rsidP="007A68D5">
            <w:pPr>
              <w:jc w:val="left"/>
              <w:rPr>
                <w:rFonts w:cs="Times New Roman"/>
                <w:color w:val="000000"/>
                <w:sz w:val="18"/>
                <w:szCs w:val="18"/>
                <w:lang w:val="cs-CZ"/>
              </w:rPr>
            </w:pPr>
            <w:r w:rsidRPr="00B25A22">
              <w:rPr>
                <w:rFonts w:cs="Times New Roman"/>
                <w:color w:val="000000"/>
                <w:sz w:val="18"/>
                <w:szCs w:val="18"/>
                <w:lang w:val="cs-CZ"/>
              </w:rPr>
              <w:t>Potenciální možnost využití v případě, kdy by se OP pro jinou komoditu (mléko, HM) nechaly uznat i pro odvětví cukru s ohledem na to, že část členů OP pro mléko a HM má produkci cukrovky.</w:t>
            </w:r>
          </w:p>
        </w:tc>
      </w:tr>
      <w:tr w:rsidR="00AA3A5F" w:rsidRPr="000703B9" w14:paraId="5AFCBAC7" w14:textId="77777777" w:rsidTr="007A68D5">
        <w:trPr>
          <w:trHeight w:val="708"/>
        </w:trPr>
        <w:tc>
          <w:tcPr>
            <w:tcW w:w="1200" w:type="dxa"/>
            <w:shd w:val="clear" w:color="auto" w:fill="auto"/>
            <w:vAlign w:val="center"/>
            <w:hideMark/>
          </w:tcPr>
          <w:p w14:paraId="2927FCE6" w14:textId="77777777" w:rsidR="00AA3A5F" w:rsidRPr="00B25A22" w:rsidRDefault="00AA3A5F" w:rsidP="007A68D5">
            <w:pPr>
              <w:jc w:val="left"/>
              <w:rPr>
                <w:rFonts w:cs="Times New Roman"/>
                <w:color w:val="000000"/>
                <w:sz w:val="18"/>
                <w:szCs w:val="18"/>
                <w:lang w:val="cs-CZ"/>
              </w:rPr>
            </w:pPr>
            <w:r w:rsidRPr="00B25A22">
              <w:rPr>
                <w:rFonts w:cs="Times New Roman"/>
                <w:color w:val="000000"/>
                <w:sz w:val="18"/>
                <w:szCs w:val="18"/>
                <w:lang w:val="cs-CZ"/>
              </w:rPr>
              <w:t>Chmel</w:t>
            </w:r>
          </w:p>
        </w:tc>
        <w:tc>
          <w:tcPr>
            <w:tcW w:w="12535" w:type="dxa"/>
            <w:shd w:val="clear" w:color="auto" w:fill="auto"/>
            <w:vAlign w:val="center"/>
            <w:hideMark/>
          </w:tcPr>
          <w:p w14:paraId="7E1DDEE4" w14:textId="61A14735" w:rsidR="00AA3A5F" w:rsidRPr="00B25A22" w:rsidRDefault="00AA3A5F" w:rsidP="007A68D5">
            <w:pPr>
              <w:jc w:val="left"/>
              <w:rPr>
                <w:rFonts w:cs="Times New Roman"/>
                <w:color w:val="000000"/>
                <w:sz w:val="18"/>
                <w:szCs w:val="18"/>
                <w:lang w:val="cs-CZ"/>
              </w:rPr>
            </w:pPr>
            <w:r w:rsidRPr="00B25A22">
              <w:rPr>
                <w:rFonts w:cs="Times New Roman"/>
                <w:color w:val="000000"/>
                <w:sz w:val="18"/>
                <w:szCs w:val="18"/>
                <w:lang w:val="cs-CZ"/>
              </w:rPr>
              <w:t>Velký zájem o OI. Vysoká organizovanost odvětví; ve Svazu pěstitelů chmele organizováni producenti s ca 93 % plochy, obdobně v Chmelařství, družstvu Žatec.</w:t>
            </w:r>
            <w:r w:rsidR="00517F5D">
              <w:rPr>
                <w:rFonts w:cs="Times New Roman"/>
                <w:color w:val="000000"/>
                <w:sz w:val="18"/>
                <w:szCs w:val="18"/>
                <w:lang w:val="cs-CZ"/>
              </w:rPr>
              <w:t xml:space="preserve"> </w:t>
            </w:r>
            <w:r w:rsidRPr="00B25A22">
              <w:rPr>
                <w:rFonts w:cs="Times New Roman"/>
                <w:color w:val="000000"/>
                <w:sz w:val="18"/>
                <w:szCs w:val="18"/>
                <w:lang w:val="cs-CZ"/>
              </w:rPr>
              <w:t xml:space="preserve">Předmětem spolupráce členů je zejména výzkum a pěstební metody. V odvětví funguje výzkumný institut a ve výzkumné spolupráci je i další potenciál odvětví. Případné OP by pro zlepšení svého postavení využily především cílů týkajících se výzkumu a uplatnění postupů šetrných k životnímu prostředí. S ohledem na využití cílů z oboru výzkumu a pěstitelských postupů (nikoliv koncentrace nabídky) doporučujeme ke zvážení upustit u tohoto odvětví od podmínky obchodovaného podílu a postavit podmínky spolupráce zejména na kooperaci členů s efektem ve vývoji pěstebních metod. Potenciál využití odvětvových intervencí je postaven na popsaném přístupu bez podmínky vysokého podílu obchodované produkce.   </w:t>
            </w:r>
          </w:p>
        </w:tc>
      </w:tr>
      <w:tr w:rsidR="00AA3A5F" w:rsidRPr="00B25A22" w14:paraId="53075851" w14:textId="77777777" w:rsidTr="007A68D5">
        <w:trPr>
          <w:trHeight w:val="683"/>
        </w:trPr>
        <w:tc>
          <w:tcPr>
            <w:tcW w:w="1200" w:type="dxa"/>
            <w:shd w:val="clear" w:color="auto" w:fill="auto"/>
            <w:vAlign w:val="center"/>
            <w:hideMark/>
          </w:tcPr>
          <w:p w14:paraId="2C963824" w14:textId="77777777" w:rsidR="00AA3A5F" w:rsidRPr="00B25A22" w:rsidRDefault="00AA3A5F" w:rsidP="007A68D5">
            <w:pPr>
              <w:jc w:val="left"/>
              <w:rPr>
                <w:rFonts w:cs="Times New Roman"/>
                <w:color w:val="000000"/>
                <w:sz w:val="18"/>
                <w:szCs w:val="18"/>
                <w:lang w:val="cs-CZ"/>
              </w:rPr>
            </w:pPr>
            <w:r w:rsidRPr="00B25A22">
              <w:rPr>
                <w:rFonts w:cs="Times New Roman"/>
                <w:color w:val="000000"/>
                <w:sz w:val="18"/>
                <w:szCs w:val="18"/>
                <w:lang w:val="cs-CZ"/>
              </w:rPr>
              <w:t>OZEL celkem</w:t>
            </w:r>
          </w:p>
        </w:tc>
        <w:tc>
          <w:tcPr>
            <w:tcW w:w="12535" w:type="dxa"/>
            <w:shd w:val="clear" w:color="auto" w:fill="auto"/>
            <w:vAlign w:val="center"/>
            <w:hideMark/>
          </w:tcPr>
          <w:p w14:paraId="19F47A5F" w14:textId="77777777" w:rsidR="00AA3A5F" w:rsidRPr="00B25A22" w:rsidRDefault="00AA3A5F" w:rsidP="007A68D5">
            <w:pPr>
              <w:jc w:val="left"/>
              <w:rPr>
                <w:rFonts w:cs="Times New Roman"/>
                <w:color w:val="000000"/>
                <w:sz w:val="18"/>
                <w:szCs w:val="18"/>
                <w:lang w:val="cs-CZ"/>
              </w:rPr>
            </w:pPr>
            <w:r w:rsidRPr="00B25A22">
              <w:rPr>
                <w:rFonts w:cs="Times New Roman"/>
                <w:color w:val="000000"/>
                <w:sz w:val="18"/>
                <w:szCs w:val="18"/>
                <w:lang w:val="cs-CZ"/>
              </w:rPr>
              <w:t>Odvětví OZEL je do určité míry saturováno z hlediska sdružování. Po progresi zapojení členů v předchozích letech se předpokládá spíše stagnace. Naopak požadavek povinného vyčlenění 15 % nákladů na postupy šetrné k životnímu prostředí by mohlo vést k mírnému poklesu zájmu. Vyjádření CMZU v příloze 2.</w:t>
            </w:r>
          </w:p>
        </w:tc>
      </w:tr>
    </w:tbl>
    <w:p w14:paraId="5BD3F20B" w14:textId="77777777" w:rsidR="00AA3A5F" w:rsidRPr="00B25A22" w:rsidRDefault="00AA3A5F" w:rsidP="00517F5D">
      <w:pPr>
        <w:pStyle w:val="UZEIZdroj"/>
        <w:sectPr w:rsidR="00AA3A5F" w:rsidRPr="00B25A22" w:rsidSect="007A68D5">
          <w:headerReference w:type="even" r:id="rId19"/>
          <w:headerReference w:type="default" r:id="rId20"/>
          <w:footerReference w:type="default" r:id="rId21"/>
          <w:headerReference w:type="first" r:id="rId22"/>
          <w:pgSz w:w="16838" w:h="11906" w:orient="landscape"/>
          <w:pgMar w:top="1417" w:right="1417" w:bottom="1417" w:left="1417" w:header="708" w:footer="708" w:gutter="0"/>
          <w:cols w:space="708"/>
          <w:titlePg/>
          <w:docGrid w:linePitch="360"/>
        </w:sectPr>
      </w:pPr>
      <w:r w:rsidRPr="00B25A22">
        <w:t>Pramen: vlastní sestavení ÚZEI</w:t>
      </w:r>
    </w:p>
    <w:p w14:paraId="0B52C3B6" w14:textId="5A464059" w:rsidR="008D332F" w:rsidRPr="00517F5D" w:rsidRDefault="00AA3A5F" w:rsidP="00517F5D">
      <w:pPr>
        <w:pStyle w:val="UZEINormaln"/>
        <w:rPr>
          <w:rFonts w:eastAsia="Calibri"/>
          <w:b/>
          <w:bCs/>
        </w:rPr>
      </w:pPr>
      <w:r w:rsidRPr="00517F5D">
        <w:rPr>
          <w:rFonts w:eastAsia="Calibri"/>
          <w:b/>
          <w:bCs/>
        </w:rPr>
        <w:lastRenderedPageBreak/>
        <w:t xml:space="preserve">Vyjádření profesních svazů k využití odvětvových intervencí </w:t>
      </w:r>
      <w:r w:rsidRPr="00517F5D">
        <w:rPr>
          <w:rStyle w:val="Znakapoznpodarou"/>
          <w:rFonts w:eastAsia="Calibri"/>
          <w:b/>
          <w:bCs/>
        </w:rPr>
        <w:footnoteReference w:id="21"/>
      </w:r>
    </w:p>
    <w:p w14:paraId="1348724C" w14:textId="77777777" w:rsidR="00B626BF" w:rsidRPr="00B626BF" w:rsidRDefault="00B626BF" w:rsidP="00AA3A5F">
      <w:pPr>
        <w:pBdr>
          <w:top w:val="single" w:sz="4" w:space="1" w:color="auto"/>
          <w:left w:val="single" w:sz="4" w:space="4" w:color="auto"/>
          <w:bottom w:val="single" w:sz="4" w:space="1" w:color="auto"/>
          <w:right w:val="single" w:sz="4" w:space="4" w:color="auto"/>
        </w:pBdr>
        <w:spacing w:after="60"/>
        <w:rPr>
          <w:rFonts w:cs="Times New Roman"/>
          <w:b/>
          <w:bCs/>
          <w:lang w:val="cs-CZ"/>
        </w:rPr>
      </w:pPr>
      <w:r w:rsidRPr="00B626BF">
        <w:rPr>
          <w:rFonts w:cs="Times New Roman"/>
          <w:b/>
          <w:bCs/>
          <w:lang w:val="cs-CZ"/>
        </w:rPr>
        <w:t>Cukrová řepa</w:t>
      </w:r>
    </w:p>
    <w:p w14:paraId="0228AD5D" w14:textId="55BB7370" w:rsidR="00AA3A5F" w:rsidRPr="00B25A22" w:rsidRDefault="00AA3A5F" w:rsidP="00AA3A5F">
      <w:pPr>
        <w:pBdr>
          <w:top w:val="single" w:sz="4" w:space="1" w:color="auto"/>
          <w:left w:val="single" w:sz="4" w:space="4" w:color="auto"/>
          <w:bottom w:val="single" w:sz="4" w:space="1" w:color="auto"/>
          <w:right w:val="single" w:sz="4" w:space="4" w:color="auto"/>
        </w:pBdr>
        <w:spacing w:after="60"/>
        <w:rPr>
          <w:rFonts w:cs="Times New Roman"/>
          <w:lang w:val="cs-CZ"/>
        </w:rPr>
      </w:pPr>
      <w:r w:rsidRPr="00B25A22">
        <w:rPr>
          <w:rFonts w:cs="Times New Roman"/>
          <w:lang w:val="cs-CZ"/>
        </w:rPr>
        <w:t>Zástupci svazů nepředpokládají výrazný zájem o OI. Negativním faktorem je mimo jiné limit pro jednu organizaci producentů ve výši 33 % národní produkce. V ČR by tak musely vzniknout 4 organizace producentů, což by bylo administrativně nákladné a pohltilo velkou část podpor.</w:t>
      </w:r>
    </w:p>
    <w:p w14:paraId="6D8F7A16" w14:textId="77777777" w:rsidR="00AA3A5F" w:rsidRPr="00B25A22" w:rsidRDefault="00AA3A5F" w:rsidP="00AA3A5F">
      <w:pPr>
        <w:pBdr>
          <w:top w:val="single" w:sz="4" w:space="1" w:color="auto"/>
          <w:left w:val="single" w:sz="4" w:space="4" w:color="auto"/>
          <w:bottom w:val="single" w:sz="4" w:space="1" w:color="auto"/>
          <w:right w:val="single" w:sz="4" w:space="4" w:color="auto"/>
        </w:pBdr>
        <w:rPr>
          <w:rFonts w:cs="Times New Roman"/>
          <w:lang w:val="cs-CZ"/>
        </w:rPr>
      </w:pPr>
      <w:r w:rsidRPr="00B25A22">
        <w:rPr>
          <w:rFonts w:cs="Times New Roman"/>
          <w:lang w:val="cs-CZ"/>
        </w:rPr>
        <w:t xml:space="preserve">(Schůzka zástupců odvětví 25.9.2019, Ing. </w:t>
      </w:r>
      <w:proofErr w:type="spellStart"/>
      <w:r w:rsidRPr="00B25A22">
        <w:rPr>
          <w:rFonts w:cs="Times New Roman"/>
          <w:lang w:val="cs-CZ"/>
        </w:rPr>
        <w:t>Kašing</w:t>
      </w:r>
      <w:proofErr w:type="spellEnd"/>
      <w:r w:rsidRPr="00B25A22">
        <w:rPr>
          <w:rFonts w:cs="Times New Roman"/>
          <w:lang w:val="cs-CZ"/>
        </w:rPr>
        <w:t xml:space="preserve">, Ing. </w:t>
      </w:r>
      <w:proofErr w:type="spellStart"/>
      <w:r w:rsidRPr="00B25A22">
        <w:rPr>
          <w:rFonts w:cs="Times New Roman"/>
          <w:lang w:val="cs-CZ"/>
        </w:rPr>
        <w:t>Křováček</w:t>
      </w:r>
      <w:proofErr w:type="spellEnd"/>
      <w:r w:rsidRPr="00B25A22">
        <w:rPr>
          <w:rFonts w:cs="Times New Roman"/>
          <w:lang w:val="cs-CZ"/>
        </w:rPr>
        <w:t>, Ph.D.)</w:t>
      </w:r>
    </w:p>
    <w:p w14:paraId="5B5A3E18" w14:textId="4783CA77" w:rsidR="00B626BF" w:rsidRPr="00B626BF" w:rsidRDefault="00B626BF" w:rsidP="00AA3A5F">
      <w:pPr>
        <w:pBdr>
          <w:top w:val="single" w:sz="4" w:space="1" w:color="auto"/>
          <w:left w:val="single" w:sz="4" w:space="4" w:color="auto"/>
          <w:bottom w:val="single" w:sz="4" w:space="1" w:color="auto"/>
          <w:right w:val="single" w:sz="4" w:space="4" w:color="auto"/>
        </w:pBdr>
        <w:spacing w:after="60"/>
        <w:rPr>
          <w:rFonts w:cs="Times New Roman"/>
          <w:b/>
          <w:bCs/>
          <w:lang w:val="cs-CZ"/>
        </w:rPr>
      </w:pPr>
      <w:r w:rsidRPr="00B626BF">
        <w:rPr>
          <w:rFonts w:cs="Times New Roman"/>
          <w:b/>
          <w:bCs/>
          <w:lang w:val="cs-CZ"/>
        </w:rPr>
        <w:t>Brambory</w:t>
      </w:r>
    </w:p>
    <w:p w14:paraId="513DACA7" w14:textId="271E9581" w:rsidR="00AA3A5F" w:rsidRPr="00B25A22" w:rsidRDefault="00AA3A5F" w:rsidP="00AA3A5F">
      <w:pPr>
        <w:pBdr>
          <w:top w:val="single" w:sz="4" w:space="1" w:color="auto"/>
          <w:left w:val="single" w:sz="4" w:space="4" w:color="auto"/>
          <w:bottom w:val="single" w:sz="4" w:space="1" w:color="auto"/>
          <w:right w:val="single" w:sz="4" w:space="4" w:color="auto"/>
        </w:pBdr>
        <w:spacing w:after="60"/>
        <w:rPr>
          <w:rFonts w:cs="Times New Roman"/>
          <w:lang w:val="cs-CZ"/>
        </w:rPr>
      </w:pPr>
      <w:r w:rsidRPr="00B25A22">
        <w:rPr>
          <w:rFonts w:cs="Times New Roman"/>
          <w:lang w:val="cs-CZ"/>
        </w:rPr>
        <w:t>Co se týče názoru zástupců ČBS a ČŠS ve vztahu k využití odvětvových intervencí, ti předpokládají, že sektor brambor je jedním z potenciálních sektorů, kde by mohly vzniknout minimálně dvě funkční organizace producentů se schopností čerpat finanční prostředky vymezené na toto opatření v odhadovaném rozsahu cca 20 mil. Kč/rok. Finální rozhodnutí o založení těchto organizací je však závislé na tom, v jakém znění budou schválena konečná pravidla a nařízení v této věci. Hlavní překážkou pro jednoznačné rozhodnutí je znění stávajícího návrhu nařízení, které se odkazuje na stávající platné nařízení 1308/2013, kde komodita brambory není exaktně vyjmenována jako oprávněná komodita k možnému využití odvětvových intervencí pro ostatní odvětví.</w:t>
      </w:r>
    </w:p>
    <w:p w14:paraId="46156353" w14:textId="77777777" w:rsidR="00AA3A5F" w:rsidRPr="00B25A22" w:rsidRDefault="00AA3A5F" w:rsidP="00AA3A5F">
      <w:pPr>
        <w:pBdr>
          <w:top w:val="single" w:sz="4" w:space="1" w:color="auto"/>
          <w:left w:val="single" w:sz="4" w:space="4" w:color="auto"/>
          <w:bottom w:val="single" w:sz="4" w:space="1" w:color="auto"/>
          <w:right w:val="single" w:sz="4" w:space="4" w:color="auto"/>
        </w:pBdr>
        <w:rPr>
          <w:rFonts w:cs="Times New Roman"/>
          <w:lang w:val="cs-CZ"/>
        </w:rPr>
      </w:pPr>
      <w:r w:rsidRPr="00B25A22">
        <w:rPr>
          <w:rFonts w:cs="Times New Roman"/>
          <w:lang w:val="cs-CZ"/>
        </w:rPr>
        <w:t xml:space="preserve">(Schůzka zástupců odvětví 18.9.2019, Ing. </w:t>
      </w:r>
      <w:proofErr w:type="spellStart"/>
      <w:r w:rsidRPr="00B25A22">
        <w:rPr>
          <w:rFonts w:cs="Times New Roman"/>
          <w:lang w:val="cs-CZ"/>
        </w:rPr>
        <w:t>Chlan</w:t>
      </w:r>
      <w:proofErr w:type="spellEnd"/>
      <w:r w:rsidRPr="00B25A22">
        <w:rPr>
          <w:rFonts w:cs="Times New Roman"/>
          <w:lang w:val="cs-CZ"/>
        </w:rPr>
        <w:t>)</w:t>
      </w:r>
    </w:p>
    <w:p w14:paraId="7B857D7C" w14:textId="77777777" w:rsidR="00B626BF" w:rsidRPr="00B626BF" w:rsidRDefault="00B626BF" w:rsidP="00AA3A5F">
      <w:pPr>
        <w:pBdr>
          <w:top w:val="single" w:sz="4" w:space="1" w:color="auto"/>
          <w:left w:val="single" w:sz="4" w:space="4" w:color="auto"/>
          <w:bottom w:val="single" w:sz="4" w:space="1" w:color="auto"/>
          <w:right w:val="single" w:sz="4" w:space="4" w:color="auto"/>
        </w:pBdr>
        <w:spacing w:after="60"/>
        <w:rPr>
          <w:rFonts w:cs="Times New Roman"/>
          <w:b/>
          <w:bCs/>
          <w:lang w:val="cs-CZ"/>
        </w:rPr>
      </w:pPr>
      <w:r w:rsidRPr="00B626BF">
        <w:rPr>
          <w:rFonts w:cs="Times New Roman"/>
          <w:b/>
          <w:bCs/>
          <w:lang w:val="cs-CZ"/>
        </w:rPr>
        <w:t>Chmel</w:t>
      </w:r>
    </w:p>
    <w:p w14:paraId="63EBCCFE" w14:textId="119E2887" w:rsidR="00AA3A5F" w:rsidRPr="00B25A22" w:rsidRDefault="00AA3A5F" w:rsidP="00AA3A5F">
      <w:pPr>
        <w:pBdr>
          <w:top w:val="single" w:sz="4" w:space="1" w:color="auto"/>
          <w:left w:val="single" w:sz="4" w:space="4" w:color="auto"/>
          <w:bottom w:val="single" w:sz="4" w:space="1" w:color="auto"/>
          <w:right w:val="single" w:sz="4" w:space="4" w:color="auto"/>
        </w:pBdr>
        <w:spacing w:after="60"/>
        <w:rPr>
          <w:rFonts w:cs="Times New Roman"/>
          <w:lang w:val="cs-CZ"/>
        </w:rPr>
      </w:pPr>
      <w:r w:rsidRPr="00B25A22">
        <w:rPr>
          <w:rFonts w:cs="Times New Roman"/>
          <w:lang w:val="cs-CZ"/>
        </w:rPr>
        <w:t>Využití odvětvových intervencí - svaz spatřuje tyto bariéry pro vznik organizací producentů: vysoká organizovanost sektoru, která výrazně převyšuje 33% limit produkce pro organizaci producentů; podmínka odbytu 90 % produkce; další bariérou je administrativa, zdroje pro kofinancování. Efektivnější podpora je prostřednictvím VCS.</w:t>
      </w:r>
    </w:p>
    <w:p w14:paraId="68241C97" w14:textId="77777777" w:rsidR="00AA3A5F" w:rsidRPr="00B25A22" w:rsidRDefault="00AA3A5F" w:rsidP="00AA3A5F">
      <w:pPr>
        <w:pBdr>
          <w:top w:val="single" w:sz="4" w:space="1" w:color="auto"/>
          <w:left w:val="single" w:sz="4" w:space="4" w:color="auto"/>
          <w:bottom w:val="single" w:sz="4" w:space="1" w:color="auto"/>
          <w:right w:val="single" w:sz="4" w:space="4" w:color="auto"/>
        </w:pBdr>
        <w:rPr>
          <w:rFonts w:cs="Times New Roman"/>
          <w:lang w:val="cs-CZ"/>
        </w:rPr>
      </w:pPr>
      <w:r w:rsidRPr="00B25A22">
        <w:rPr>
          <w:rFonts w:cs="Times New Roman"/>
          <w:lang w:val="cs-CZ"/>
        </w:rPr>
        <w:t xml:space="preserve">(Schůzka zástupců odvětví 26.9.2019, Ing. Hejda, Ing. </w:t>
      </w:r>
      <w:proofErr w:type="spellStart"/>
      <w:r w:rsidRPr="00B25A22">
        <w:rPr>
          <w:rFonts w:cs="Times New Roman"/>
          <w:lang w:val="cs-CZ"/>
        </w:rPr>
        <w:t>Křováček</w:t>
      </w:r>
      <w:proofErr w:type="spellEnd"/>
      <w:r w:rsidRPr="00B25A22">
        <w:rPr>
          <w:rFonts w:cs="Times New Roman"/>
          <w:lang w:val="cs-CZ"/>
        </w:rPr>
        <w:t>)</w:t>
      </w:r>
    </w:p>
    <w:p w14:paraId="6A6EABC9" w14:textId="77777777" w:rsidR="00B626BF" w:rsidRDefault="00B626BF" w:rsidP="00AA3A5F">
      <w:pPr>
        <w:pBdr>
          <w:top w:val="single" w:sz="4" w:space="1" w:color="auto"/>
          <w:left w:val="single" w:sz="4" w:space="4" w:color="auto"/>
          <w:bottom w:val="single" w:sz="4" w:space="1" w:color="auto"/>
          <w:right w:val="single" w:sz="4" w:space="4" w:color="auto"/>
        </w:pBdr>
        <w:spacing w:after="60"/>
        <w:rPr>
          <w:rFonts w:cs="Times New Roman"/>
          <w:lang w:val="cs-CZ"/>
        </w:rPr>
      </w:pPr>
      <w:r w:rsidRPr="00B626BF">
        <w:rPr>
          <w:rFonts w:cs="Times New Roman"/>
          <w:b/>
          <w:bCs/>
          <w:lang w:val="cs-CZ"/>
        </w:rPr>
        <w:t>Mléko</w:t>
      </w:r>
      <w:r>
        <w:rPr>
          <w:rFonts w:cs="Times New Roman"/>
          <w:lang w:val="cs-CZ"/>
        </w:rPr>
        <w:t xml:space="preserve"> </w:t>
      </w:r>
    </w:p>
    <w:p w14:paraId="0DC7D9D8" w14:textId="0DC8C65E" w:rsidR="00AA3A5F" w:rsidRPr="00B25A22" w:rsidRDefault="00AA3A5F" w:rsidP="00AA3A5F">
      <w:pPr>
        <w:pBdr>
          <w:top w:val="single" w:sz="4" w:space="1" w:color="auto"/>
          <w:left w:val="single" w:sz="4" w:space="4" w:color="auto"/>
          <w:bottom w:val="single" w:sz="4" w:space="1" w:color="auto"/>
          <w:right w:val="single" w:sz="4" w:space="4" w:color="auto"/>
        </w:pBdr>
        <w:spacing w:after="60"/>
        <w:rPr>
          <w:rFonts w:cs="Times New Roman"/>
          <w:u w:val="single"/>
          <w:lang w:val="cs-CZ"/>
        </w:rPr>
      </w:pPr>
      <w:r w:rsidRPr="00B25A22">
        <w:rPr>
          <w:rFonts w:cs="Times New Roman"/>
          <w:lang w:val="cs-CZ"/>
        </w:rPr>
        <w:t xml:space="preserve">V komoditní skupině pánuje názor, že </w:t>
      </w:r>
      <w:r w:rsidRPr="00B25A22">
        <w:rPr>
          <w:rFonts w:cs="Times New Roman"/>
          <w:u w:val="single"/>
          <w:lang w:val="cs-CZ"/>
        </w:rPr>
        <w:t>potenciál je spíše v současných největších organizacích producentů, jejich zájem však nutno ověřit. V komoditní skupině jsou zástupci svazů koordinující plemenářskou práci. Zástupci uvádí, že j</w:t>
      </w:r>
      <w:r w:rsidRPr="00B25A22">
        <w:rPr>
          <w:rFonts w:cs="Times New Roman"/>
          <w:lang w:val="cs-CZ"/>
        </w:rPr>
        <w:t xml:space="preserve">ako velmi důležitý bod, který je nezbytný ke zdárnému posunu, je zapojení </w:t>
      </w:r>
      <w:r w:rsidRPr="00B25A22">
        <w:rPr>
          <w:rFonts w:cs="Times New Roman"/>
          <w:b/>
          <w:bCs/>
          <w:i/>
          <w:iCs/>
          <w:lang w:val="cs-CZ"/>
        </w:rPr>
        <w:t>fungujících odbytových organizací producentů</w:t>
      </w:r>
      <w:r w:rsidRPr="00B25A22">
        <w:rPr>
          <w:rFonts w:cs="Times New Roman"/>
          <w:lang w:val="cs-CZ"/>
        </w:rPr>
        <w:t>. Umělá tvorba nebo zřizování nových odbytových sdružení není rozhodně smysluplné</w:t>
      </w:r>
    </w:p>
    <w:p w14:paraId="46FCFEFF" w14:textId="77777777" w:rsidR="00AA3A5F" w:rsidRPr="00B25A22" w:rsidRDefault="00AA3A5F" w:rsidP="00AA3A5F">
      <w:pPr>
        <w:pBdr>
          <w:top w:val="single" w:sz="4" w:space="1" w:color="auto"/>
          <w:left w:val="single" w:sz="4" w:space="4" w:color="auto"/>
          <w:bottom w:val="single" w:sz="4" w:space="1" w:color="auto"/>
          <w:right w:val="single" w:sz="4" w:space="4" w:color="auto"/>
        </w:pBdr>
        <w:rPr>
          <w:rFonts w:cs="Times New Roman"/>
          <w:lang w:val="cs-CZ"/>
        </w:rPr>
      </w:pPr>
      <w:r w:rsidRPr="00B25A22">
        <w:rPr>
          <w:rFonts w:cs="Times New Roman"/>
          <w:lang w:val="cs-CZ"/>
        </w:rPr>
        <w:t>(Zástupci odvětví 18.9.2019, doc. Motyčka, Ing. Král)</w:t>
      </w:r>
    </w:p>
    <w:p w14:paraId="72CF5A12" w14:textId="77777777" w:rsidR="00AA3A5F" w:rsidRPr="00B25A22" w:rsidRDefault="00AA3A5F" w:rsidP="00AA3A5F">
      <w:pPr>
        <w:pBdr>
          <w:top w:val="single" w:sz="4" w:space="1" w:color="auto"/>
          <w:left w:val="single" w:sz="4" w:space="4" w:color="auto"/>
          <w:bottom w:val="single" w:sz="4" w:space="1" w:color="auto"/>
          <w:right w:val="single" w:sz="4" w:space="4" w:color="auto"/>
        </w:pBdr>
        <w:rPr>
          <w:rFonts w:cs="Times New Roman"/>
          <w:lang w:val="cs-CZ"/>
        </w:rPr>
      </w:pPr>
      <w:r w:rsidRPr="00B25A22">
        <w:rPr>
          <w:rFonts w:cs="Times New Roman"/>
          <w:lang w:val="cs-CZ"/>
        </w:rPr>
        <w:t>Návazně ÚZEI oslovil všechny stávající organizace producentů v odvětví mléka. Velké organizace zájem neprojevily. Z celkového počtu 19-ti organizací projevily zájem pouze dvě malé organizace producentů.</w:t>
      </w:r>
    </w:p>
    <w:p w14:paraId="78BAE27A" w14:textId="77777777" w:rsidR="00B626BF" w:rsidRPr="00B626BF" w:rsidRDefault="00B626BF" w:rsidP="00AA3A5F">
      <w:pPr>
        <w:pBdr>
          <w:top w:val="single" w:sz="4" w:space="1" w:color="auto"/>
          <w:left w:val="single" w:sz="4" w:space="4" w:color="auto"/>
          <w:bottom w:val="single" w:sz="4" w:space="1" w:color="auto"/>
          <w:right w:val="single" w:sz="4" w:space="4" w:color="auto"/>
        </w:pBdr>
        <w:spacing w:after="60"/>
        <w:rPr>
          <w:rFonts w:cs="Times New Roman"/>
          <w:b/>
          <w:bCs/>
          <w:lang w:val="cs-CZ"/>
        </w:rPr>
      </w:pPr>
      <w:r w:rsidRPr="00B626BF">
        <w:rPr>
          <w:rFonts w:cs="Times New Roman"/>
          <w:b/>
          <w:bCs/>
          <w:lang w:val="cs-CZ"/>
        </w:rPr>
        <w:t>Hovězí maso</w:t>
      </w:r>
    </w:p>
    <w:p w14:paraId="21B15F91" w14:textId="562C335A" w:rsidR="00AA3A5F" w:rsidRPr="00B25A22" w:rsidRDefault="00AA3A5F" w:rsidP="00AA3A5F">
      <w:pPr>
        <w:pBdr>
          <w:top w:val="single" w:sz="4" w:space="1" w:color="auto"/>
          <w:left w:val="single" w:sz="4" w:space="4" w:color="auto"/>
          <w:bottom w:val="single" w:sz="4" w:space="1" w:color="auto"/>
          <w:right w:val="single" w:sz="4" w:space="4" w:color="auto"/>
        </w:pBdr>
        <w:spacing w:after="60"/>
        <w:rPr>
          <w:rFonts w:cs="Times New Roman"/>
          <w:lang w:val="cs-CZ"/>
        </w:rPr>
      </w:pPr>
      <w:r w:rsidRPr="00B25A22">
        <w:rPr>
          <w:rFonts w:cs="Times New Roman"/>
          <w:lang w:val="cs-CZ"/>
        </w:rPr>
        <w:t xml:space="preserve">Není signál, který by naznačil ochotu zemědělců s výkrmem skotu sestavit akční organizace producentů z operačních programů. Tato pozice vychází z historických zkušeností a aktuálního vyhodnocení spolupráce v sektoru. Prodej lze do značné míry řešit faremním prodejem. </w:t>
      </w:r>
    </w:p>
    <w:p w14:paraId="2CAC0575" w14:textId="77777777" w:rsidR="00AA3A5F" w:rsidRPr="00B25A22" w:rsidRDefault="00AA3A5F" w:rsidP="00AA3A5F">
      <w:pPr>
        <w:pBdr>
          <w:top w:val="single" w:sz="4" w:space="1" w:color="auto"/>
          <w:left w:val="single" w:sz="4" w:space="4" w:color="auto"/>
          <w:bottom w:val="single" w:sz="4" w:space="1" w:color="auto"/>
          <w:right w:val="single" w:sz="4" w:space="4" w:color="auto"/>
        </w:pBdr>
        <w:rPr>
          <w:rFonts w:cs="Times New Roman"/>
          <w:lang w:val="cs-CZ"/>
        </w:rPr>
      </w:pPr>
      <w:r w:rsidRPr="00B25A22">
        <w:rPr>
          <w:rFonts w:cs="Times New Roman"/>
          <w:lang w:val="cs-CZ"/>
        </w:rPr>
        <w:t>(Zástupci odvětví 18.9.2019, Ing. Malát)</w:t>
      </w:r>
    </w:p>
    <w:p w14:paraId="308BF823" w14:textId="193D4C0D" w:rsidR="00B626BF" w:rsidRPr="00B626BF" w:rsidRDefault="00B626BF" w:rsidP="00AA3A5F">
      <w:pPr>
        <w:pBdr>
          <w:top w:val="single" w:sz="4" w:space="1" w:color="auto"/>
          <w:left w:val="single" w:sz="4" w:space="4" w:color="auto"/>
          <w:bottom w:val="single" w:sz="4" w:space="1" w:color="auto"/>
          <w:right w:val="single" w:sz="4" w:space="4" w:color="auto"/>
        </w:pBdr>
        <w:spacing w:after="60"/>
        <w:rPr>
          <w:rFonts w:cs="Times New Roman"/>
          <w:b/>
          <w:bCs/>
          <w:lang w:val="cs-CZ"/>
        </w:rPr>
      </w:pPr>
      <w:r w:rsidRPr="00B626BF">
        <w:rPr>
          <w:rFonts w:cs="Times New Roman"/>
          <w:b/>
          <w:bCs/>
          <w:lang w:val="cs-CZ"/>
        </w:rPr>
        <w:t>Vepřové maso</w:t>
      </w:r>
    </w:p>
    <w:p w14:paraId="4581C7DD" w14:textId="04BB1C67" w:rsidR="00AA3A5F" w:rsidRPr="00B25A22" w:rsidRDefault="00B626BF" w:rsidP="00AA3A5F">
      <w:pPr>
        <w:pBdr>
          <w:top w:val="single" w:sz="4" w:space="1" w:color="auto"/>
          <w:left w:val="single" w:sz="4" w:space="4" w:color="auto"/>
          <w:bottom w:val="single" w:sz="4" w:space="1" w:color="auto"/>
          <w:right w:val="single" w:sz="4" w:space="4" w:color="auto"/>
        </w:pBdr>
        <w:spacing w:after="60"/>
        <w:rPr>
          <w:rFonts w:cs="Times New Roman"/>
          <w:lang w:val="cs-CZ"/>
        </w:rPr>
      </w:pPr>
      <w:r>
        <w:rPr>
          <w:rFonts w:cs="Times New Roman"/>
          <w:lang w:val="cs-CZ"/>
        </w:rPr>
        <w:t>M</w:t>
      </w:r>
      <w:r w:rsidR="00AA3A5F" w:rsidRPr="00B25A22">
        <w:rPr>
          <w:rFonts w:cs="Times New Roman"/>
          <w:lang w:val="cs-CZ"/>
        </w:rPr>
        <w:t xml:space="preserve">ožnost založení operačních programů stávajícími organizacemi producentů: </w:t>
      </w:r>
      <w:r w:rsidR="00AA3A5F" w:rsidRPr="00B25A22">
        <w:rPr>
          <w:rFonts w:cs="Times New Roman"/>
          <w:u w:val="single"/>
          <w:lang w:val="cs-CZ"/>
        </w:rPr>
        <w:t>Nejeví se, že by odvětví mělo potenciál k založení operačních programů. Avšak založení společných fondů pojištění rizik by mohlo být stimulem pro zemědělce ke sdružování. Záleží na podmínkách, zda o to budou mít zájem</w:t>
      </w:r>
      <w:r w:rsidR="00AA3A5F" w:rsidRPr="00B25A22">
        <w:rPr>
          <w:rFonts w:cs="Times New Roman"/>
          <w:lang w:val="cs-CZ"/>
        </w:rPr>
        <w:t xml:space="preserve">. </w:t>
      </w:r>
    </w:p>
    <w:p w14:paraId="1EDD5050" w14:textId="77777777" w:rsidR="00AA3A5F" w:rsidRPr="00B25A22" w:rsidRDefault="00AA3A5F" w:rsidP="00AA3A5F">
      <w:pPr>
        <w:pBdr>
          <w:top w:val="single" w:sz="4" w:space="1" w:color="auto"/>
          <w:left w:val="single" w:sz="4" w:space="4" w:color="auto"/>
          <w:bottom w:val="single" w:sz="4" w:space="1" w:color="auto"/>
          <w:right w:val="single" w:sz="4" w:space="4" w:color="auto"/>
        </w:pBdr>
        <w:rPr>
          <w:rFonts w:cs="Times New Roman"/>
          <w:lang w:val="cs-CZ"/>
        </w:rPr>
      </w:pPr>
      <w:r w:rsidRPr="00B25A22">
        <w:rPr>
          <w:rFonts w:cs="Times New Roman"/>
          <w:lang w:val="cs-CZ"/>
        </w:rPr>
        <w:t xml:space="preserve">(Zástupci odvětví 19.9.2019, Ing. </w:t>
      </w:r>
      <w:proofErr w:type="spellStart"/>
      <w:r w:rsidRPr="00B25A22">
        <w:rPr>
          <w:rFonts w:cs="Times New Roman"/>
          <w:lang w:val="cs-CZ"/>
        </w:rPr>
        <w:t>Stibal</w:t>
      </w:r>
      <w:proofErr w:type="spellEnd"/>
      <w:r w:rsidRPr="00B25A22">
        <w:rPr>
          <w:rFonts w:cs="Times New Roman"/>
          <w:lang w:val="cs-CZ"/>
        </w:rPr>
        <w:t>)</w:t>
      </w:r>
    </w:p>
    <w:p w14:paraId="682FD976" w14:textId="77777777" w:rsidR="00B626BF" w:rsidRDefault="00B626BF" w:rsidP="00AA3A5F">
      <w:pPr>
        <w:pBdr>
          <w:top w:val="single" w:sz="4" w:space="1" w:color="auto"/>
          <w:left w:val="single" w:sz="4" w:space="4" w:color="auto"/>
          <w:bottom w:val="single" w:sz="4" w:space="1" w:color="auto"/>
          <w:right w:val="single" w:sz="4" w:space="4" w:color="auto"/>
        </w:pBdr>
        <w:spacing w:after="60"/>
        <w:rPr>
          <w:rFonts w:cs="Times New Roman"/>
          <w:b/>
          <w:bCs/>
          <w:lang w:val="cs-CZ"/>
        </w:rPr>
      </w:pPr>
    </w:p>
    <w:p w14:paraId="6A6B126F" w14:textId="59F35C7C" w:rsidR="00B626BF" w:rsidRPr="00B626BF" w:rsidRDefault="00B626BF" w:rsidP="00AA3A5F">
      <w:pPr>
        <w:pBdr>
          <w:top w:val="single" w:sz="4" w:space="1" w:color="auto"/>
          <w:left w:val="single" w:sz="4" w:space="4" w:color="auto"/>
          <w:bottom w:val="single" w:sz="4" w:space="1" w:color="auto"/>
          <w:right w:val="single" w:sz="4" w:space="4" w:color="auto"/>
        </w:pBdr>
        <w:spacing w:after="60"/>
        <w:rPr>
          <w:rFonts w:cs="Times New Roman"/>
          <w:b/>
          <w:bCs/>
          <w:lang w:val="cs-CZ"/>
        </w:rPr>
      </w:pPr>
      <w:r w:rsidRPr="00B626BF">
        <w:rPr>
          <w:rFonts w:cs="Times New Roman"/>
          <w:b/>
          <w:bCs/>
          <w:lang w:val="cs-CZ"/>
        </w:rPr>
        <w:lastRenderedPageBreak/>
        <w:t>Drůbež</w:t>
      </w:r>
    </w:p>
    <w:p w14:paraId="7165ADC1" w14:textId="287D4FCC" w:rsidR="00AA3A5F" w:rsidRPr="00B25A22" w:rsidRDefault="00AA3A5F" w:rsidP="00AA3A5F">
      <w:pPr>
        <w:pBdr>
          <w:top w:val="single" w:sz="4" w:space="1" w:color="auto"/>
          <w:left w:val="single" w:sz="4" w:space="4" w:color="auto"/>
          <w:bottom w:val="single" w:sz="4" w:space="1" w:color="auto"/>
          <w:right w:val="single" w:sz="4" w:space="4" w:color="auto"/>
        </w:pBdr>
        <w:spacing w:after="60"/>
        <w:rPr>
          <w:rFonts w:cs="Times New Roman"/>
          <w:lang w:val="cs-CZ"/>
        </w:rPr>
      </w:pPr>
      <w:r w:rsidRPr="00B25A22">
        <w:rPr>
          <w:rFonts w:cs="Times New Roman"/>
          <w:lang w:val="cs-CZ"/>
        </w:rPr>
        <w:t>O kolektivní akce nejeví sektor zájem.</w:t>
      </w:r>
    </w:p>
    <w:p w14:paraId="496B6657" w14:textId="77777777" w:rsidR="00F320C9" w:rsidRDefault="00AA3A5F" w:rsidP="00F320C9">
      <w:pPr>
        <w:pBdr>
          <w:top w:val="single" w:sz="4" w:space="1" w:color="auto"/>
          <w:left w:val="single" w:sz="4" w:space="4" w:color="auto"/>
          <w:bottom w:val="single" w:sz="4" w:space="1" w:color="auto"/>
          <w:right w:val="single" w:sz="4" w:space="4" w:color="auto"/>
        </w:pBdr>
        <w:rPr>
          <w:rFonts w:cs="Times New Roman"/>
          <w:lang w:val="cs-CZ"/>
        </w:rPr>
      </w:pPr>
      <w:r w:rsidRPr="00B25A22">
        <w:rPr>
          <w:rFonts w:cs="Times New Roman"/>
          <w:lang w:val="cs-CZ"/>
        </w:rPr>
        <w:t xml:space="preserve">(Zástupci odvětví 19.9.2019, Ing. Dlouhá, Ing. </w:t>
      </w:r>
      <w:proofErr w:type="spellStart"/>
      <w:r w:rsidRPr="00B25A22">
        <w:rPr>
          <w:rFonts w:cs="Times New Roman"/>
          <w:lang w:val="cs-CZ"/>
        </w:rPr>
        <w:t>Mlázovský</w:t>
      </w:r>
      <w:proofErr w:type="spellEnd"/>
      <w:r w:rsidRPr="00B25A22">
        <w:rPr>
          <w:rFonts w:cs="Times New Roman"/>
          <w:lang w:val="cs-CZ"/>
        </w:rPr>
        <w:t xml:space="preserve">).  </w:t>
      </w:r>
    </w:p>
    <w:p w14:paraId="0724242F" w14:textId="43DE7CED" w:rsidR="00B626BF" w:rsidRPr="00F320C9" w:rsidRDefault="00F320C9" w:rsidP="00F320C9">
      <w:pPr>
        <w:pBdr>
          <w:top w:val="single" w:sz="4" w:space="1" w:color="auto"/>
          <w:left w:val="single" w:sz="4" w:space="4" w:color="auto"/>
          <w:bottom w:val="single" w:sz="4" w:space="1" w:color="auto"/>
          <w:right w:val="single" w:sz="4" w:space="4" w:color="auto"/>
        </w:pBdr>
        <w:rPr>
          <w:rFonts w:cs="Times New Roman"/>
          <w:lang w:val="cs-CZ"/>
        </w:rPr>
      </w:pPr>
      <w:r w:rsidRPr="000703B9">
        <w:rPr>
          <w:b/>
          <w:bCs/>
          <w:lang w:val="cs-CZ"/>
        </w:rPr>
        <w:t>Vejce</w:t>
      </w:r>
    </w:p>
    <w:p w14:paraId="738C9929" w14:textId="77777777" w:rsidR="00AA3A5F" w:rsidRPr="00B25A22" w:rsidRDefault="00BB1301" w:rsidP="00AA3A5F">
      <w:pPr>
        <w:pBdr>
          <w:top w:val="single" w:sz="4" w:space="1" w:color="auto"/>
          <w:left w:val="single" w:sz="4" w:space="4" w:color="auto"/>
          <w:bottom w:val="single" w:sz="4" w:space="1" w:color="auto"/>
          <w:right w:val="single" w:sz="4" w:space="4" w:color="auto"/>
        </w:pBdr>
        <w:spacing w:after="120"/>
        <w:rPr>
          <w:rFonts w:cs="Times New Roman"/>
          <w:u w:val="single"/>
          <w:lang w:val="cs-CZ"/>
        </w:rPr>
      </w:pPr>
      <w:hyperlink r:id="rId23" w:anchor="vejce!#ODKAZ!" w:history="1">
        <w:r w:rsidR="00AA3A5F" w:rsidRPr="00B25A22">
          <w:rPr>
            <w:rStyle w:val="Hypertextovodkaz"/>
            <w:rFonts w:cs="Times New Roman"/>
            <w:lang w:val="cs-CZ"/>
          </w:rPr>
          <w:t xml:space="preserve"> 50 % vajec se prodává přes odbytové organizace (25 % Zlatá vejce, 25 % Česká vejce). </w:t>
        </w:r>
      </w:hyperlink>
      <w:r w:rsidR="00AA3A5F" w:rsidRPr="00B25A22">
        <w:rPr>
          <w:rFonts w:cs="Times New Roman"/>
          <w:lang w:val="cs-CZ"/>
        </w:rPr>
        <w:t xml:space="preserve"> Nutno provést průzkum, zda by ostatní 50 % se chtěli sdružovat. </w:t>
      </w:r>
      <w:r w:rsidR="00AA3A5F" w:rsidRPr="00B25A22">
        <w:rPr>
          <w:rFonts w:cs="Times New Roman"/>
          <w:u w:val="single"/>
          <w:lang w:val="cs-CZ"/>
        </w:rPr>
        <w:t xml:space="preserve">Možnost založení operačních programů stávajícími organizacemi producentů: nejpravděpodobněji typy odvětvových intervencí podle č. 60 Návrhu nařízení: a) </w:t>
      </w:r>
      <w:proofErr w:type="spellStart"/>
      <w:r w:rsidR="00AA3A5F" w:rsidRPr="00B25A22">
        <w:rPr>
          <w:rFonts w:cs="Times New Roman"/>
          <w:u w:val="single"/>
          <w:lang w:val="cs-CZ"/>
        </w:rPr>
        <w:t>iv</w:t>
      </w:r>
      <w:proofErr w:type="spellEnd"/>
      <w:r w:rsidR="00AA3A5F" w:rsidRPr="00B25A22">
        <w:rPr>
          <w:rFonts w:cs="Times New Roman"/>
          <w:u w:val="single"/>
          <w:lang w:val="cs-CZ"/>
        </w:rPr>
        <w:t xml:space="preserve">; v); </w:t>
      </w:r>
      <w:proofErr w:type="spellStart"/>
      <w:r w:rsidR="00AA3A5F" w:rsidRPr="00B25A22">
        <w:rPr>
          <w:rFonts w:cs="Times New Roman"/>
          <w:u w:val="single"/>
          <w:lang w:val="cs-CZ"/>
        </w:rPr>
        <w:t>vi</w:t>
      </w:r>
      <w:proofErr w:type="spellEnd"/>
      <w:r w:rsidR="00AA3A5F" w:rsidRPr="00B25A22">
        <w:rPr>
          <w:rFonts w:cs="Times New Roman"/>
          <w:u w:val="single"/>
          <w:lang w:val="cs-CZ"/>
        </w:rPr>
        <w:t xml:space="preserve">); </w:t>
      </w:r>
      <w:proofErr w:type="spellStart"/>
      <w:r w:rsidR="00AA3A5F" w:rsidRPr="00B25A22">
        <w:rPr>
          <w:rFonts w:cs="Times New Roman"/>
          <w:u w:val="single"/>
          <w:lang w:val="cs-CZ"/>
        </w:rPr>
        <w:t>vii</w:t>
      </w:r>
      <w:proofErr w:type="spellEnd"/>
      <w:r w:rsidR="00AA3A5F" w:rsidRPr="00B25A22">
        <w:rPr>
          <w:rFonts w:cs="Times New Roman"/>
          <w:u w:val="single"/>
          <w:lang w:val="cs-CZ"/>
        </w:rPr>
        <w:t>); b) (ventilace); c); e); f); g); h).</w:t>
      </w:r>
    </w:p>
    <w:p w14:paraId="666651DA" w14:textId="12F775D6" w:rsidR="00AA3A5F" w:rsidRPr="009574F2" w:rsidRDefault="00AA3A5F" w:rsidP="009574F2">
      <w:pPr>
        <w:pBdr>
          <w:top w:val="single" w:sz="4" w:space="1" w:color="auto"/>
          <w:left w:val="single" w:sz="4" w:space="4" w:color="auto"/>
          <w:bottom w:val="single" w:sz="4" w:space="1" w:color="auto"/>
          <w:right w:val="single" w:sz="4" w:space="4" w:color="auto"/>
        </w:pBdr>
        <w:spacing w:after="120"/>
        <w:rPr>
          <w:rFonts w:cs="Times New Roman"/>
          <w:color w:val="201F1E"/>
          <w:sz w:val="22"/>
          <w:lang w:val="cs-CZ"/>
        </w:rPr>
      </w:pPr>
      <w:r w:rsidRPr="00B25A22">
        <w:rPr>
          <w:rFonts w:cs="Times New Roman"/>
          <w:color w:val="201F1E"/>
          <w:sz w:val="22"/>
          <w:lang w:val="cs-CZ"/>
        </w:rPr>
        <w:t xml:space="preserve">a) investice do hmotných a nehmotných aktiv; výzkum a experimentální výroba, jakož i jiná opatření včetně opatření týkajících se: </w:t>
      </w:r>
      <w:proofErr w:type="spellStart"/>
      <w:r w:rsidRPr="00B25A22">
        <w:rPr>
          <w:rFonts w:cs="Times New Roman"/>
          <w:color w:val="201F1E"/>
          <w:sz w:val="22"/>
          <w:bdr w:val="none" w:sz="0" w:space="0" w:color="auto" w:frame="1"/>
          <w:lang w:val="cs-CZ"/>
        </w:rPr>
        <w:t>iv</w:t>
      </w:r>
      <w:proofErr w:type="spellEnd"/>
      <w:r w:rsidRPr="00B25A22">
        <w:rPr>
          <w:rFonts w:cs="Times New Roman"/>
          <w:color w:val="201F1E"/>
          <w:sz w:val="22"/>
          <w:bdr w:val="none" w:sz="0" w:space="0" w:color="auto" w:frame="1"/>
          <w:lang w:val="cs-CZ"/>
        </w:rPr>
        <w:t>)</w:t>
      </w:r>
      <w:r w:rsidRPr="00B25A22">
        <w:rPr>
          <w:rFonts w:cs="Times New Roman"/>
          <w:color w:val="201F1E"/>
          <w:sz w:val="14"/>
          <w:szCs w:val="14"/>
          <w:bdr w:val="none" w:sz="0" w:space="0" w:color="auto" w:frame="1"/>
          <w:lang w:val="cs-CZ"/>
        </w:rPr>
        <w:t>                 </w:t>
      </w:r>
      <w:r w:rsidRPr="00B25A22">
        <w:rPr>
          <w:rFonts w:cs="Times New Roman"/>
          <w:color w:val="201F1E"/>
          <w:sz w:val="22"/>
          <w:lang w:val="cs-CZ"/>
        </w:rPr>
        <w:t xml:space="preserve">zvyšování úspory energie a energetické účinnosti; </w:t>
      </w:r>
      <w:r w:rsidRPr="00B25A22">
        <w:rPr>
          <w:rFonts w:cs="Times New Roman"/>
          <w:color w:val="201F1E"/>
          <w:sz w:val="22"/>
          <w:bdr w:val="none" w:sz="0" w:space="0" w:color="auto" w:frame="1"/>
          <w:lang w:val="cs-CZ"/>
        </w:rPr>
        <w:t>v)</w:t>
      </w:r>
      <w:r w:rsidRPr="00B25A22">
        <w:rPr>
          <w:rFonts w:cs="Times New Roman"/>
          <w:color w:val="201F1E"/>
          <w:sz w:val="14"/>
          <w:szCs w:val="14"/>
          <w:bdr w:val="none" w:sz="0" w:space="0" w:color="auto" w:frame="1"/>
          <w:lang w:val="cs-CZ"/>
        </w:rPr>
        <w:t>                   </w:t>
      </w:r>
      <w:r w:rsidRPr="00B25A22">
        <w:rPr>
          <w:rFonts w:cs="Times New Roman"/>
          <w:color w:val="201F1E"/>
          <w:sz w:val="22"/>
          <w:lang w:val="cs-CZ"/>
        </w:rPr>
        <w:t xml:space="preserve">ekologických obalů; </w:t>
      </w:r>
      <w:proofErr w:type="spellStart"/>
      <w:r w:rsidRPr="00B25A22">
        <w:rPr>
          <w:rFonts w:cs="Times New Roman"/>
          <w:color w:val="201F1E"/>
          <w:sz w:val="22"/>
          <w:bdr w:val="none" w:sz="0" w:space="0" w:color="auto" w:frame="1"/>
          <w:lang w:val="cs-CZ"/>
        </w:rPr>
        <w:t>vi</w:t>
      </w:r>
      <w:proofErr w:type="spellEnd"/>
      <w:r w:rsidRPr="00B25A22">
        <w:rPr>
          <w:rFonts w:cs="Times New Roman"/>
          <w:color w:val="201F1E"/>
          <w:sz w:val="22"/>
          <w:bdr w:val="none" w:sz="0" w:space="0" w:color="auto" w:frame="1"/>
          <w:lang w:val="cs-CZ"/>
        </w:rPr>
        <w:t>)</w:t>
      </w:r>
      <w:r w:rsidRPr="00B25A22">
        <w:rPr>
          <w:rFonts w:cs="Times New Roman"/>
          <w:color w:val="201F1E"/>
          <w:sz w:val="14"/>
          <w:szCs w:val="14"/>
          <w:bdr w:val="none" w:sz="0" w:space="0" w:color="auto" w:frame="1"/>
          <w:lang w:val="cs-CZ"/>
        </w:rPr>
        <w:t>                 </w:t>
      </w:r>
      <w:r w:rsidRPr="00B25A22">
        <w:rPr>
          <w:rFonts w:cs="Times New Roman"/>
          <w:color w:val="201F1E"/>
          <w:sz w:val="22"/>
          <w:lang w:val="cs-CZ"/>
        </w:rPr>
        <w:t xml:space="preserve">zdraví a dobrých životních podmínek zvířat; </w:t>
      </w:r>
      <w:proofErr w:type="spellStart"/>
      <w:r w:rsidRPr="00B25A22">
        <w:rPr>
          <w:rFonts w:cs="Times New Roman"/>
          <w:color w:val="201F1E"/>
          <w:sz w:val="22"/>
          <w:bdr w:val="none" w:sz="0" w:space="0" w:color="auto" w:frame="1"/>
          <w:lang w:val="cs-CZ"/>
        </w:rPr>
        <w:t>vii</w:t>
      </w:r>
      <w:proofErr w:type="spellEnd"/>
      <w:r w:rsidRPr="00B25A22">
        <w:rPr>
          <w:rFonts w:cs="Times New Roman"/>
          <w:color w:val="201F1E"/>
          <w:sz w:val="22"/>
          <w:bdr w:val="none" w:sz="0" w:space="0" w:color="auto" w:frame="1"/>
          <w:lang w:val="cs-CZ"/>
        </w:rPr>
        <w:t>)</w:t>
      </w:r>
      <w:r w:rsidRPr="00B25A22">
        <w:rPr>
          <w:rFonts w:cs="Times New Roman"/>
          <w:color w:val="201F1E"/>
          <w:sz w:val="14"/>
          <w:szCs w:val="14"/>
          <w:bdr w:val="none" w:sz="0" w:space="0" w:color="auto" w:frame="1"/>
          <w:lang w:val="cs-CZ"/>
        </w:rPr>
        <w:t>               </w:t>
      </w:r>
      <w:r w:rsidRPr="00B25A22">
        <w:rPr>
          <w:rFonts w:cs="Times New Roman"/>
          <w:color w:val="201F1E"/>
          <w:sz w:val="22"/>
          <w:lang w:val="cs-CZ"/>
        </w:rPr>
        <w:t>snižování produkce odpadů a lepšího využívání vedlejších produktů a odpadů a nakládání s nimi;</w:t>
      </w:r>
      <w:r w:rsidR="007A68D5">
        <w:rPr>
          <w:rFonts w:cs="Times New Roman"/>
          <w:color w:val="201F1E"/>
          <w:sz w:val="22"/>
          <w:lang w:val="cs-CZ"/>
        </w:rPr>
        <w:t xml:space="preserve"> </w:t>
      </w:r>
      <w:r w:rsidRPr="00B25A22">
        <w:rPr>
          <w:rFonts w:cs="Times New Roman"/>
          <w:color w:val="201F1E"/>
          <w:bdr w:val="none" w:sz="0" w:space="0" w:color="auto" w:frame="1"/>
          <w:lang w:val="cs-CZ"/>
        </w:rPr>
        <w:t>b)</w:t>
      </w:r>
      <w:r w:rsidRPr="00B25A22">
        <w:rPr>
          <w:rFonts w:cs="Times New Roman"/>
          <w:color w:val="201F1E"/>
          <w:sz w:val="14"/>
          <w:szCs w:val="14"/>
          <w:bdr w:val="none" w:sz="0" w:space="0" w:color="auto" w:frame="1"/>
          <w:lang w:val="cs-CZ"/>
        </w:rPr>
        <w:t>      </w:t>
      </w:r>
      <w:r w:rsidRPr="00B25A22">
        <w:rPr>
          <w:rFonts w:cs="Times New Roman"/>
          <w:color w:val="201F1E"/>
          <w:lang w:val="cs-CZ"/>
        </w:rPr>
        <w:t>poradenské služby a technická pomoc, zejména pokud jde o přizpůsobování se změně klimatu a její zmírňování;</w:t>
      </w:r>
      <w:r w:rsidR="009574F2">
        <w:rPr>
          <w:rFonts w:cs="Times New Roman"/>
          <w:color w:val="201F1E"/>
          <w:lang w:val="cs-CZ"/>
        </w:rPr>
        <w:t xml:space="preserve"> </w:t>
      </w:r>
      <w:r w:rsidRPr="00B25A22">
        <w:rPr>
          <w:rFonts w:cs="Times New Roman"/>
          <w:color w:val="201F1E"/>
          <w:bdr w:val="none" w:sz="0" w:space="0" w:color="auto" w:frame="1"/>
          <w:lang w:val="cs-CZ"/>
        </w:rPr>
        <w:t>c)</w:t>
      </w:r>
      <w:r w:rsidRPr="00B25A22">
        <w:rPr>
          <w:rFonts w:cs="Times New Roman"/>
          <w:color w:val="201F1E"/>
          <w:sz w:val="14"/>
          <w:szCs w:val="14"/>
          <w:bdr w:val="none" w:sz="0" w:space="0" w:color="auto" w:frame="1"/>
          <w:lang w:val="cs-CZ"/>
        </w:rPr>
        <w:t>      </w:t>
      </w:r>
      <w:r w:rsidRPr="00B25A22">
        <w:rPr>
          <w:rFonts w:cs="Times New Roman"/>
          <w:color w:val="201F1E"/>
          <w:lang w:val="cs-CZ"/>
        </w:rPr>
        <w:t>odborná příprava včetně odborného vedení a výměny osvědčených postupů;</w:t>
      </w:r>
      <w:r w:rsidR="009574F2">
        <w:rPr>
          <w:rFonts w:cs="Times New Roman"/>
          <w:color w:val="201F1E"/>
          <w:lang w:val="cs-CZ"/>
        </w:rPr>
        <w:t xml:space="preserve"> </w:t>
      </w:r>
      <w:r w:rsidRPr="00B25A22">
        <w:rPr>
          <w:rFonts w:cs="Times New Roman"/>
          <w:color w:val="201F1E"/>
          <w:bdr w:val="none" w:sz="0" w:space="0" w:color="auto" w:frame="1"/>
          <w:lang w:val="cs-CZ"/>
        </w:rPr>
        <w:t>e)      opatření ke zvýšení udržitelnosti a účinnosti přepravy a skladování produktů jednoho nebo více odvětví uvedených v čl. 40 písm. f);</w:t>
      </w:r>
      <w:r w:rsidR="009574F2">
        <w:rPr>
          <w:rFonts w:cs="Times New Roman"/>
          <w:color w:val="201F1E"/>
          <w:bdr w:val="none" w:sz="0" w:space="0" w:color="auto" w:frame="1"/>
          <w:lang w:val="cs-CZ"/>
        </w:rPr>
        <w:t xml:space="preserve"> </w:t>
      </w:r>
      <w:r w:rsidRPr="00B25A22">
        <w:rPr>
          <w:rFonts w:cs="Times New Roman"/>
          <w:color w:val="201F1E"/>
          <w:bdr w:val="none" w:sz="0" w:space="0" w:color="auto" w:frame="1"/>
          <w:lang w:val="cs-CZ"/>
        </w:rPr>
        <w:t>f)      propagace, komunikace a marketing včetně opatření a činností zaměřených zejména na zvyšování povědomí spotřebitelů o režimech jakosti EU a důležitosti zdravého stravování a na diverzifikaci trhů;</w:t>
      </w:r>
      <w:r w:rsidR="009574F2">
        <w:rPr>
          <w:rFonts w:cs="Times New Roman"/>
          <w:color w:val="201F1E"/>
          <w:bdr w:val="none" w:sz="0" w:space="0" w:color="auto" w:frame="1"/>
          <w:lang w:val="cs-CZ"/>
        </w:rPr>
        <w:t xml:space="preserve"> </w:t>
      </w:r>
      <w:r w:rsidRPr="00B25A22">
        <w:rPr>
          <w:rFonts w:cs="Times New Roman"/>
          <w:color w:val="201F1E"/>
          <w:bdr w:val="none" w:sz="0" w:space="0" w:color="auto" w:frame="1"/>
          <w:lang w:val="cs-CZ"/>
        </w:rPr>
        <w:t>g)     provádění unijních a vnitrostátních režimů jakosti;</w:t>
      </w:r>
      <w:r w:rsidR="009574F2">
        <w:rPr>
          <w:rFonts w:cs="Times New Roman"/>
          <w:color w:val="201F1E"/>
          <w:bdr w:val="none" w:sz="0" w:space="0" w:color="auto" w:frame="1"/>
          <w:lang w:val="cs-CZ"/>
        </w:rPr>
        <w:t xml:space="preserve"> </w:t>
      </w:r>
      <w:r w:rsidRPr="00B25A22">
        <w:rPr>
          <w:rFonts w:cs="Times New Roman"/>
          <w:color w:val="201F1E"/>
          <w:bdr w:val="none" w:sz="0" w:space="0" w:color="auto" w:frame="1"/>
          <w:lang w:val="cs-CZ"/>
        </w:rPr>
        <w:t>h)     zavádění systémů sledování a certifikace, zejména sledování jakosti produktů prodávaných koncovým spotřebitelům.</w:t>
      </w:r>
      <w:r w:rsidR="007A68D5">
        <w:rPr>
          <w:rFonts w:cs="Times New Roman"/>
          <w:color w:val="201F1E"/>
          <w:bdr w:val="none" w:sz="0" w:space="0" w:color="auto" w:frame="1"/>
          <w:lang w:val="cs-CZ"/>
        </w:rPr>
        <w:t xml:space="preserve"> </w:t>
      </w:r>
      <w:r w:rsidRPr="00B25A22">
        <w:rPr>
          <w:rFonts w:cs="Times New Roman"/>
          <w:color w:val="201F1E"/>
          <w:bdr w:val="none" w:sz="0" w:space="0" w:color="auto" w:frame="1"/>
          <w:lang w:val="cs-CZ"/>
        </w:rPr>
        <w:t>Zástupci odvětví 19.</w:t>
      </w:r>
      <w:r w:rsidR="007A68D5">
        <w:rPr>
          <w:rFonts w:cs="Times New Roman"/>
          <w:color w:val="201F1E"/>
          <w:bdr w:val="none" w:sz="0" w:space="0" w:color="auto" w:frame="1"/>
          <w:lang w:val="cs-CZ"/>
        </w:rPr>
        <w:t xml:space="preserve"> </w:t>
      </w:r>
      <w:r w:rsidRPr="00B25A22">
        <w:rPr>
          <w:rFonts w:cs="Times New Roman"/>
          <w:color w:val="201F1E"/>
          <w:bdr w:val="none" w:sz="0" w:space="0" w:color="auto" w:frame="1"/>
          <w:lang w:val="cs-CZ"/>
        </w:rPr>
        <w:t>9.</w:t>
      </w:r>
      <w:r w:rsidR="007A68D5">
        <w:rPr>
          <w:rFonts w:cs="Times New Roman"/>
          <w:color w:val="201F1E"/>
          <w:bdr w:val="none" w:sz="0" w:space="0" w:color="auto" w:frame="1"/>
          <w:lang w:val="cs-CZ"/>
        </w:rPr>
        <w:t xml:space="preserve"> </w:t>
      </w:r>
      <w:r w:rsidRPr="00B25A22">
        <w:rPr>
          <w:rFonts w:cs="Times New Roman"/>
          <w:color w:val="201F1E"/>
          <w:bdr w:val="none" w:sz="0" w:space="0" w:color="auto" w:frame="1"/>
          <w:lang w:val="cs-CZ"/>
        </w:rPr>
        <w:t xml:space="preserve">2019, Ing. Dlouhá, Ing. </w:t>
      </w:r>
      <w:proofErr w:type="spellStart"/>
      <w:r w:rsidRPr="00B25A22">
        <w:rPr>
          <w:rFonts w:cs="Times New Roman"/>
          <w:color w:val="201F1E"/>
          <w:bdr w:val="none" w:sz="0" w:space="0" w:color="auto" w:frame="1"/>
          <w:lang w:val="cs-CZ"/>
        </w:rPr>
        <w:t>Mlázovský</w:t>
      </w:r>
      <w:proofErr w:type="spellEnd"/>
    </w:p>
    <w:p w14:paraId="213D9278" w14:textId="786A4072" w:rsidR="00AA3A5F" w:rsidRPr="009574F2" w:rsidRDefault="00AA3A5F" w:rsidP="009574F2">
      <w:pPr>
        <w:pBdr>
          <w:top w:val="single" w:sz="4" w:space="1" w:color="auto"/>
          <w:left w:val="single" w:sz="4" w:space="4" w:color="auto"/>
          <w:bottom w:val="single" w:sz="4" w:space="1" w:color="auto"/>
          <w:right w:val="single" w:sz="4" w:space="4" w:color="auto"/>
        </w:pBdr>
        <w:rPr>
          <w:rFonts w:cs="Times New Roman"/>
          <w:lang w:val="cs-CZ"/>
        </w:rPr>
      </w:pPr>
      <w:r w:rsidRPr="00B25A22">
        <w:rPr>
          <w:rFonts w:cs="Times New Roman"/>
          <w:lang w:val="cs-CZ"/>
        </w:rPr>
        <w:t>Posléze svaz zvažoval možnosti, ale k 31.</w:t>
      </w:r>
      <w:r w:rsidR="000703B9">
        <w:rPr>
          <w:rFonts w:cs="Times New Roman"/>
          <w:lang w:val="cs-CZ"/>
        </w:rPr>
        <w:t xml:space="preserve"> </w:t>
      </w:r>
      <w:r w:rsidRPr="00B25A22">
        <w:rPr>
          <w:rFonts w:cs="Times New Roman"/>
          <w:lang w:val="cs-CZ"/>
        </w:rPr>
        <w:t>10. 2019 nenalezl předmět podpory.</w:t>
      </w:r>
    </w:p>
    <w:p w14:paraId="03C30600" w14:textId="77777777" w:rsidR="00AA3A5F" w:rsidRPr="00B25A22" w:rsidRDefault="00AA3A5F" w:rsidP="00AA3A5F">
      <w:pPr>
        <w:rPr>
          <w:rFonts w:eastAsia="Calibri" w:cs="Times New Roman"/>
          <w:b/>
          <w:sz w:val="22"/>
          <w:lang w:val="cs-CZ"/>
        </w:rPr>
      </w:pPr>
    </w:p>
    <w:p w14:paraId="6BC9F2B5" w14:textId="77777777" w:rsidR="00AA3A5F" w:rsidRPr="007D69D6" w:rsidRDefault="00AA3A5F" w:rsidP="007D69D6">
      <w:pPr>
        <w:pStyle w:val="UZEINormaln"/>
        <w:rPr>
          <w:rFonts w:eastAsia="Calibri"/>
          <w:b/>
          <w:bCs/>
        </w:rPr>
      </w:pPr>
      <w:r w:rsidRPr="007D69D6">
        <w:rPr>
          <w:rFonts w:eastAsia="Calibri"/>
          <w:b/>
          <w:bCs/>
        </w:rPr>
        <w:t xml:space="preserve">Další potenciálně uvažovaná řešení: Vzdělávání v oblasti komunikace a marketingu včetně činností zaměřených na zvyšování povědomí o režimech jakosti a významu zdravého stravování. </w:t>
      </w:r>
    </w:p>
    <w:p w14:paraId="3D70F93F" w14:textId="77777777" w:rsidR="00AA3A5F" w:rsidRPr="00B25A22" w:rsidRDefault="00AA3A5F" w:rsidP="007D69D6">
      <w:pPr>
        <w:pStyle w:val="UZEINormaln"/>
      </w:pPr>
      <w:r w:rsidRPr="00B25A22">
        <w:t>Edukaci výrobců, zpracovatelů i spotřebitelů považujeme za velmi žádoucí. Zřejmě řešitelné prostřednictvím nástrojů zaměřených na vzdělávání. Doporučujeme intervence zaměřené na:</w:t>
      </w:r>
    </w:p>
    <w:p w14:paraId="3216CA84" w14:textId="77777777" w:rsidR="00AA3A5F" w:rsidRPr="00B25A22" w:rsidRDefault="00AA3A5F" w:rsidP="007D69D6">
      <w:pPr>
        <w:pStyle w:val="UZEINormaln"/>
      </w:pPr>
      <w:r w:rsidRPr="00B25A22">
        <w:t xml:space="preserve">1) Založení a činnost marketingové nebo jiné instituce umožňující výrobcům potravin se orientovat na trhu, zaměřit se na inovace a cílenými marketingovými aktivitami provádět propagaci svých výrobků. V tomto ohledu pokud možno „předběhnout“ řetězce, nebo s nimi na propagaci spolupracovat. </w:t>
      </w:r>
    </w:p>
    <w:p w14:paraId="2F64019F" w14:textId="77777777" w:rsidR="00AA3A5F" w:rsidRPr="00B25A22" w:rsidRDefault="00AA3A5F" w:rsidP="007D69D6">
      <w:pPr>
        <w:pStyle w:val="UZEINormaln"/>
      </w:pPr>
      <w:r w:rsidRPr="00B25A22">
        <w:t>2) Edukaci spotřebitelů a ovlivnění jejich chování ve směru preferencí kvalitních potravin a správné výživy, tzn., aby spotřebitelé získali fundované informace o tom, jakým způsobem se „zdravě“ stravovat. V současné době existuje značné množství „mýtů“ o výživě. Pokud bude dostatečná výchova ke správné výživě (a koupěschopná poptávka), lze očekávat i růst poptávky po kvalitních potravinářských výrobcích.</w:t>
      </w:r>
    </w:p>
    <w:p w14:paraId="2A9EF82C" w14:textId="7F1C027E" w:rsidR="00AA3A5F" w:rsidRDefault="00AA3A5F" w:rsidP="007D69D6">
      <w:pPr>
        <w:pStyle w:val="UZEINormaln"/>
      </w:pPr>
      <w:r w:rsidRPr="00B25A22">
        <w:t xml:space="preserve">3) Zvýšení povědomosti populace o dosud používaných značkách kvality potravinářských výrobků, tj. objasnit, co používané standardy (značky) představují, jaký je jejich přínos. </w:t>
      </w:r>
    </w:p>
    <w:p w14:paraId="54D47D0F" w14:textId="7BB1B0E7" w:rsidR="007D69D6" w:rsidRPr="007D69D6" w:rsidRDefault="007D69D6" w:rsidP="007D69D6">
      <w:pPr>
        <w:spacing w:after="160" w:line="259" w:lineRule="auto"/>
        <w:jc w:val="left"/>
        <w:rPr>
          <w:rFonts w:eastAsia="Times New Roman" w:cstheme="minorHAnsi"/>
          <w:szCs w:val="24"/>
          <w:lang w:val="cs-CZ" w:eastAsia="cs-CZ"/>
        </w:rPr>
      </w:pPr>
      <w:r w:rsidRPr="000703B9">
        <w:rPr>
          <w:lang w:val="cs-CZ"/>
        </w:rPr>
        <w:br w:type="page"/>
      </w:r>
    </w:p>
    <w:p w14:paraId="2FA3676F" w14:textId="77777777" w:rsidR="00AA3A5F" w:rsidRPr="007D69D6" w:rsidRDefault="00AA3A5F" w:rsidP="007D69D6">
      <w:pPr>
        <w:pStyle w:val="Nadpis1"/>
      </w:pPr>
      <w:bookmarkStart w:id="62" w:name="_Toc12598431"/>
      <w:bookmarkStart w:id="63" w:name="_Toc80969614"/>
      <w:bookmarkStart w:id="64" w:name="_Toc81743387"/>
      <w:bookmarkStart w:id="65" w:name="_Toc81743834"/>
      <w:r w:rsidRPr="007D69D6">
        <w:lastRenderedPageBreak/>
        <w:t>Míra stávajícího řešení problému</w:t>
      </w:r>
      <w:bookmarkEnd w:id="62"/>
      <w:bookmarkEnd w:id="63"/>
      <w:bookmarkEnd w:id="64"/>
      <w:bookmarkEnd w:id="65"/>
    </w:p>
    <w:p w14:paraId="2AC3D0B0" w14:textId="77777777" w:rsidR="00AA3A5F" w:rsidRPr="00B25A22" w:rsidRDefault="00AA3A5F" w:rsidP="007D69D6">
      <w:pPr>
        <w:pStyle w:val="UZEINormaln"/>
      </w:pPr>
      <w:r w:rsidRPr="007D69D6">
        <w:rPr>
          <w:b/>
          <w:bCs/>
        </w:rPr>
        <w:t>Problémy, na které má politika reagovat a jejich příčiny, popsané v kapitole 2 a 3 jsou rozsáhlé a překračují rámec působnosti SZP</w:t>
      </w:r>
      <w:r w:rsidRPr="00B25A22">
        <w:t xml:space="preserve">. Problémy, které mají původ v konečných článcích vertikály (maloobchod, spotřebitel) lze prostřednictvím nástrojů SZP snížit, nikoliv vyřešit. V tomto směru je stanoven i cíl C: „zlepšení“ pozice zemědělců v hodnotovém řetězci. Lze však konstatovat, že jednotlivé nástroje SZP (stávající i eventuálně nové) mají různý potenciál řešení. Zatímco spolupráce k vytváření krátkých řetězců, ačkoliv má své oprávnění, ukazuje prozatím na marginální význam v řešení dominantního postavení řetězců, operační programy v odvětví ovoce a zeleniny se ukázaly jako velmi relevantní. Značná část řešení spočívá v rozhodování spotřebitele. Proto se domníváme, že k řešení problému by přispěla zejména osvěta spotřebitelů. V tomto směru budou navrhovány i intervence. </w:t>
      </w:r>
    </w:p>
    <w:p w14:paraId="3529AEBA" w14:textId="77777777" w:rsidR="00AA3A5F" w:rsidRPr="007D69D6" w:rsidRDefault="00AA3A5F" w:rsidP="007D69D6">
      <w:pPr>
        <w:pStyle w:val="UZEINormaln"/>
        <w:numPr>
          <w:ilvl w:val="0"/>
          <w:numId w:val="39"/>
        </w:numPr>
        <w:rPr>
          <w:b/>
          <w:bCs/>
        </w:rPr>
      </w:pPr>
      <w:r w:rsidRPr="007D69D6">
        <w:rPr>
          <w:b/>
          <w:bCs/>
        </w:rPr>
        <w:t>Dominantní vliv obchodních řetězců z pozice maloobchodního odběratele a s tím související tržní nedokonalosti (asymetrická cenová transmise, diktát odběratelských podmínek).</w:t>
      </w:r>
    </w:p>
    <w:p w14:paraId="1B20F7A7" w14:textId="77777777" w:rsidR="00AA3A5F" w:rsidRPr="00B25A22" w:rsidRDefault="00AA3A5F" w:rsidP="007D69D6">
      <w:pPr>
        <w:pStyle w:val="UZEINormaln"/>
      </w:pPr>
      <w:r w:rsidRPr="00B25A22">
        <w:t>Doposud na národní úrovni:</w:t>
      </w:r>
    </w:p>
    <w:p w14:paraId="5AC99297" w14:textId="77777777" w:rsidR="00AA3A5F" w:rsidRPr="00B25A22" w:rsidRDefault="00AA3A5F" w:rsidP="007D69D6">
      <w:pPr>
        <w:pStyle w:val="UZEIOdrky"/>
      </w:pPr>
      <w:r w:rsidRPr="00B25A22">
        <w:t>Zákon č. 395/2009 Sb. - Zákon o významné tržní síle při prodeji zemědělských a potravinářských produktů a jejím zneužití</w:t>
      </w:r>
    </w:p>
    <w:p w14:paraId="02098B4B" w14:textId="77777777" w:rsidR="00AA3A5F" w:rsidRPr="00B25A22" w:rsidRDefault="00AA3A5F" w:rsidP="007D69D6">
      <w:pPr>
        <w:pStyle w:val="UZEIOdrky"/>
      </w:pPr>
      <w:r w:rsidRPr="00B25A22">
        <w:t>Zákon č. 50/2016 Sb. - Zákon, kterým se mění zákon č. 395/2009 Sb., o významné tržní síle při prodeji zemědělských a potravinářských produktů a jejím zneužití</w:t>
      </w:r>
    </w:p>
    <w:p w14:paraId="433166F5" w14:textId="77777777" w:rsidR="00AA3A5F" w:rsidRPr="00B25A22" w:rsidRDefault="00AA3A5F" w:rsidP="007D69D6">
      <w:pPr>
        <w:pStyle w:val="UZEINormaln"/>
      </w:pPr>
      <w:r w:rsidRPr="00B25A22">
        <w:t>Zákony podchycují problém na příliš obecné úrovni.</w:t>
      </w:r>
    </w:p>
    <w:p w14:paraId="59478D03" w14:textId="77777777" w:rsidR="00AA3A5F" w:rsidRPr="00B25A22" w:rsidRDefault="00AA3A5F" w:rsidP="007D69D6">
      <w:pPr>
        <w:pStyle w:val="UZEINormaln"/>
      </w:pPr>
      <w:r w:rsidRPr="00B25A22">
        <w:t>Na úrovni EU v návrhu:</w:t>
      </w:r>
    </w:p>
    <w:p w14:paraId="28F98BED" w14:textId="77777777" w:rsidR="00AA3A5F" w:rsidRPr="00B25A22" w:rsidRDefault="00AA3A5F" w:rsidP="007D69D6">
      <w:pPr>
        <w:pStyle w:val="UZEIOdrky"/>
      </w:pPr>
      <w:r w:rsidRPr="00B25A22">
        <w:t>Návrh textu směrnice Evropského parlamentu a Rady o nekalých obchodních praktikách mezi podniky v potravinovém řetězci (</w:t>
      </w:r>
      <w:proofErr w:type="gramStart"/>
      <w:r w:rsidRPr="00B25A22">
        <w:t>COM(</w:t>
      </w:r>
      <w:proofErr w:type="gramEnd"/>
      <w:r w:rsidRPr="00B25A22">
        <w:t>2018)0173 – C8-0139/2018 – 2018/0082(COD))  Výbor pro zemědělství a rozvoj venkova.(Legislativa v přípravě.)</w:t>
      </w:r>
    </w:p>
    <w:p w14:paraId="0879C2CA" w14:textId="77777777" w:rsidR="00AA3A5F" w:rsidRPr="00B25A22" w:rsidRDefault="00AA3A5F" w:rsidP="007D69D6">
      <w:pPr>
        <w:pStyle w:val="UZEINormaln"/>
      </w:pPr>
      <w:r w:rsidRPr="00B25A22">
        <w:t>Směrnice stanoví minimální seznam zakázaných nekalých obchodních praktik mezi kupujícími a dodavateli v zemědělském a potravinovém řetězci, minimální pravidla pro jejich prosazování. „Nekalými obchodními praktikami“ se dle návrhu směrnice rozumí jakýkoliv postup, který:</w:t>
      </w:r>
    </w:p>
    <w:p w14:paraId="423281FF" w14:textId="77777777" w:rsidR="00AA3A5F" w:rsidRPr="00B25A22" w:rsidRDefault="00AA3A5F" w:rsidP="007D69D6">
      <w:pPr>
        <w:pStyle w:val="UZEIOdrky"/>
      </w:pPr>
      <w:r w:rsidRPr="00B25A22">
        <w:t>se výrazně odchyluje od zásad poctivého obchodního styku, je v rozporu s dobrou vírou   poctivým jednáním a je jednostranně zaveden jedním obchodním partnerem vůči druhému;</w:t>
      </w:r>
    </w:p>
    <w:p w14:paraId="26B1D979" w14:textId="77777777" w:rsidR="00AA3A5F" w:rsidRPr="00B25A22" w:rsidRDefault="00AA3A5F" w:rsidP="007D69D6">
      <w:pPr>
        <w:pStyle w:val="UZEIOdrky"/>
      </w:pPr>
      <w:r w:rsidRPr="00B25A22">
        <w:t>stanoví nebo se pokouší stanovit neodůvodněný a nepřiměřený přenos hospodářského rizika kupujícího na dodavatele; nebo</w:t>
      </w:r>
    </w:p>
    <w:p w14:paraId="0FF0B587" w14:textId="77777777" w:rsidR="00AA3A5F" w:rsidRPr="00B25A22" w:rsidRDefault="00AA3A5F" w:rsidP="007D69D6">
      <w:pPr>
        <w:pStyle w:val="UZEIOdrky"/>
      </w:pPr>
      <w:r w:rsidRPr="00B25A22">
        <w:t>vytváří nebo se pokouší vytvořit výraznou nerovnováhu mezi právy a povinnostmi dodavatele v rámci obchodního vztahu před uzavřením smlouvy, v době její platnosti nebo po jejím vypršení.</w:t>
      </w:r>
    </w:p>
    <w:p w14:paraId="2070A2DC" w14:textId="77777777" w:rsidR="00AA3A5F" w:rsidRPr="00B25A22" w:rsidRDefault="00AA3A5F" w:rsidP="007D69D6">
      <w:pPr>
        <w:pStyle w:val="UZEINormaln"/>
      </w:pPr>
      <w:r w:rsidRPr="007D69D6">
        <w:rPr>
          <w:b/>
          <w:bCs/>
        </w:rPr>
        <w:t>Zákon o významné tržní síle a návrh textu Rady o nekalých obchodních praktikách omezují určité chování řetězců, neřeší však jejich dominantní</w:t>
      </w:r>
      <w:r w:rsidRPr="00B25A22">
        <w:t xml:space="preserve"> postavení v maloobchodním prodeji. To je dáno zejména alokací obchodní sítě, trendy nákupního chování spotřebitelů (nákupy základního sortimentu s menší frekvencí a větším objemem) a sortimentní nabídkou. Řešením je podle názoru ÚZEI zejména: </w:t>
      </w:r>
    </w:p>
    <w:p w14:paraId="1C2488D9" w14:textId="77777777" w:rsidR="00AA3A5F" w:rsidRPr="00B25A22" w:rsidRDefault="00AA3A5F" w:rsidP="007D69D6">
      <w:pPr>
        <w:pStyle w:val="UZEIOdrky"/>
      </w:pPr>
      <w:r w:rsidRPr="00B25A22">
        <w:t xml:space="preserve">budování alternativních prodejních cest, </w:t>
      </w:r>
    </w:p>
    <w:p w14:paraId="40A2A5C7" w14:textId="77777777" w:rsidR="00AA3A5F" w:rsidRPr="00B25A22" w:rsidRDefault="00AA3A5F" w:rsidP="007D69D6">
      <w:pPr>
        <w:pStyle w:val="UZEIOdrky"/>
      </w:pPr>
      <w:r w:rsidRPr="00B25A22">
        <w:t xml:space="preserve">osvěta spotřebitelů o nákupním chování, </w:t>
      </w:r>
    </w:p>
    <w:p w14:paraId="3ABE9EEE" w14:textId="77777777" w:rsidR="00AA3A5F" w:rsidRPr="00B25A22" w:rsidRDefault="00AA3A5F" w:rsidP="007D69D6">
      <w:pPr>
        <w:pStyle w:val="UZEIOdrky"/>
      </w:pPr>
      <w:r w:rsidRPr="00B25A22">
        <w:t xml:space="preserve">osvěta výrobců i spotřebitelů ve smyslu zvyšování povědomí o režimech kvality a významu zdravé výživy apod. </w:t>
      </w:r>
    </w:p>
    <w:p w14:paraId="3DE3EFEC" w14:textId="77777777" w:rsidR="00AA3A5F" w:rsidRPr="00B25A22" w:rsidRDefault="00AA3A5F" w:rsidP="007D69D6">
      <w:pPr>
        <w:pStyle w:val="UZEINormaln"/>
        <w:rPr>
          <w:rFonts w:eastAsia="Calibri"/>
          <w:caps/>
        </w:rPr>
      </w:pPr>
      <w:r w:rsidRPr="00B25A22">
        <w:lastRenderedPageBreak/>
        <w:t xml:space="preserve">Ukazuje se, že opatření směřované na podporu vzniku a působení krátkých obchodních řetězců nebylo ve stávajícím období téměř využíváno. Dle informace SZIF nelze určit důvod nevyužívání.  Podle expertního názoru ÚZEI může být bariérou administrativní náročnost. Odvětvové intervence mají podle názoru ÚZEI potenciál zejména ke spolupráci producentů a koordinaci jejich postupu vůči navazujícím článkům vertikály a též k budování režimů jakosti a s nimi spojené osvětě spotřebitelů.   </w:t>
      </w:r>
    </w:p>
    <w:p w14:paraId="4B7F7650" w14:textId="465A2C92" w:rsidR="00AA3A5F" w:rsidRPr="007D69D6" w:rsidRDefault="00AA3A5F" w:rsidP="007D69D6">
      <w:pPr>
        <w:pStyle w:val="UZEINormaln"/>
        <w:numPr>
          <w:ilvl w:val="0"/>
          <w:numId w:val="39"/>
        </w:numPr>
        <w:rPr>
          <w:b/>
          <w:bCs/>
        </w:rPr>
      </w:pPr>
      <w:r w:rsidRPr="00B25A22">
        <w:rPr>
          <w:rFonts w:eastAsia="Calibri"/>
          <w:caps/>
        </w:rPr>
        <w:t>Problematika krátkých řetězců (KDŘ)</w:t>
      </w:r>
      <w:r w:rsidRPr="00B25A22">
        <w:rPr>
          <w:rFonts w:eastAsia="Calibri"/>
        </w:rPr>
        <w:t xml:space="preserve"> je v současném programovém období podchycena </w:t>
      </w:r>
      <w:r w:rsidRPr="00B25A22">
        <w:rPr>
          <w:rFonts w:eastAsia="Calibri"/>
          <w:b/>
        </w:rPr>
        <w:t>opatřením PRV 16.4.1. Horizontální a vertikální spolupráce mezi účastníky krátkých dodavatelských řetězců a místních trhů</w:t>
      </w:r>
      <w:r w:rsidRPr="00B25A22">
        <w:rPr>
          <w:rFonts w:eastAsia="Calibri"/>
        </w:rPr>
        <w:t xml:space="preserve">. </w:t>
      </w:r>
      <w:r w:rsidRPr="00B25A22">
        <w:t xml:space="preserve">Jedná </w:t>
      </w:r>
      <w:r w:rsidRPr="00B25A22">
        <w:rPr>
          <w:color w:val="333333"/>
        </w:rPr>
        <w:t xml:space="preserve">se o podporu spolupráce minimálně dvou subjektů, která vede k vytváření a rozvoji krátkých dodavatelských řetězců (KDŘ) a místních trhů. Podporován je vznik a koordinace spolupracujících subjektů, tj. spolupráce na tvorbě studií a podnikatelského plánu. Podpora je také určena pro společné investice na realizaci projektu a společnou propagaci KDŘ nebo místního trhu. Formou takovéto spolupráce může být společný prodej v místní prodejně, společný prodej ze dvora, společná organizace přímého prodeje spotřebiteli (např. </w:t>
      </w:r>
      <w:proofErr w:type="spellStart"/>
      <w:r w:rsidRPr="00B25A22">
        <w:rPr>
          <w:color w:val="333333"/>
        </w:rPr>
        <w:t>bedýnkový</w:t>
      </w:r>
      <w:proofErr w:type="spellEnd"/>
      <w:r w:rsidRPr="00B25A22">
        <w:rPr>
          <w:color w:val="333333"/>
        </w:rPr>
        <w:t xml:space="preserve"> prodej). Podpora na vytvoření a rozvoj KDŘ se týká pouze dodavatelského řetězce, který zahrnuje maximálně jednoho zprostředkovatele mezi zemědělcem a spotřebitelem. Vytvoření a rozvoj místního trhu je podporován pouze v případě, že činnosti zpracování a prodeje konečnému spotřebiteli se odehrávají v okruhu 75 km od zemědělského podniku, z něhož produkt pochází. Žadatelem je uskupení minimálně dvou nezávislých subjektů (zemědělský podnikatel, výrobce potravin, nevládní neziskové organizace zastupující zemědělce nebo zpracovatele potravin, obce nebo svazky obcí). Minimálně jeden subjekt však musí prokázat podnikatelskou činnost v odvětví zemědělství. Dle údajů SZIF k </w:t>
      </w:r>
      <w:r w:rsidR="009A2040" w:rsidRPr="009A2040">
        <w:rPr>
          <w:color w:val="333333"/>
        </w:rPr>
        <w:t xml:space="preserve">30. 6. 2021 </w:t>
      </w:r>
      <w:r w:rsidRPr="00B25A22">
        <w:rPr>
          <w:color w:val="333333"/>
        </w:rPr>
        <w:t xml:space="preserve">bylo celkem zaregistrováno </w:t>
      </w:r>
      <w:r w:rsidR="009A2040" w:rsidRPr="00B25A22">
        <w:rPr>
          <w:color w:val="333333"/>
        </w:rPr>
        <w:t>1</w:t>
      </w:r>
      <w:r w:rsidR="009A2040">
        <w:rPr>
          <w:color w:val="333333"/>
        </w:rPr>
        <w:t>8</w:t>
      </w:r>
      <w:r w:rsidR="009A2040" w:rsidRPr="00B25A22">
        <w:rPr>
          <w:color w:val="333333"/>
        </w:rPr>
        <w:t xml:space="preserve"> </w:t>
      </w:r>
      <w:r w:rsidRPr="00B25A22">
        <w:rPr>
          <w:color w:val="333333"/>
        </w:rPr>
        <w:t xml:space="preserve">žádostí o dotaci, z toho u </w:t>
      </w:r>
      <w:r w:rsidR="009A2040" w:rsidRPr="00B25A22">
        <w:rPr>
          <w:color w:val="333333"/>
        </w:rPr>
        <w:t>1</w:t>
      </w:r>
      <w:r w:rsidR="009A2040">
        <w:rPr>
          <w:color w:val="333333"/>
        </w:rPr>
        <w:t>5</w:t>
      </w:r>
      <w:r w:rsidR="009A2040" w:rsidRPr="00B25A22">
        <w:rPr>
          <w:color w:val="333333"/>
        </w:rPr>
        <w:t xml:space="preserve"> </w:t>
      </w:r>
      <w:r w:rsidRPr="00B25A22">
        <w:rPr>
          <w:color w:val="333333"/>
        </w:rPr>
        <w:t xml:space="preserve">žádostí byla ukončena administrace a jen 3 žádosti v administraci </w:t>
      </w:r>
      <w:r w:rsidR="00AC0D5E" w:rsidRPr="00B25A22">
        <w:rPr>
          <w:color w:val="333333"/>
        </w:rPr>
        <w:t>zůstal</w:t>
      </w:r>
      <w:r w:rsidR="00AC0D5E">
        <w:rPr>
          <w:color w:val="333333"/>
        </w:rPr>
        <w:t>y</w:t>
      </w:r>
      <w:r w:rsidRPr="00B25A22">
        <w:rPr>
          <w:color w:val="333333"/>
        </w:rPr>
        <w:t xml:space="preserve">. Podepsaná dohoda byla pouze u </w:t>
      </w:r>
      <w:r w:rsidR="004F1CE2">
        <w:rPr>
          <w:color w:val="333333"/>
        </w:rPr>
        <w:t>tří</w:t>
      </w:r>
      <w:r w:rsidR="004F1CE2" w:rsidRPr="00B25A22">
        <w:rPr>
          <w:color w:val="333333"/>
        </w:rPr>
        <w:t xml:space="preserve"> žádost</w:t>
      </w:r>
      <w:r w:rsidR="004F1CE2">
        <w:rPr>
          <w:color w:val="333333"/>
        </w:rPr>
        <w:t>í</w:t>
      </w:r>
      <w:r w:rsidRPr="00B25A22">
        <w:rPr>
          <w:color w:val="333333"/>
        </w:rPr>
        <w:t>.</w:t>
      </w:r>
      <w:r w:rsidR="009A2040" w:rsidRPr="009A2040">
        <w:t xml:space="preserve"> </w:t>
      </w:r>
      <w:r w:rsidRPr="007D69D6">
        <w:rPr>
          <w:b/>
          <w:bCs/>
        </w:rPr>
        <w:t>Nízká míra sdružování zemědělských výrobců při odbytu navazujícím článkům.</w:t>
      </w:r>
    </w:p>
    <w:p w14:paraId="73EAAB3C" w14:textId="77777777" w:rsidR="00AA3A5F" w:rsidRPr="00B25A22" w:rsidRDefault="00AA3A5F" w:rsidP="007D69D6">
      <w:pPr>
        <w:pStyle w:val="UZEINormaln"/>
      </w:pPr>
      <w:r w:rsidRPr="00B25A22">
        <w:t xml:space="preserve">Výchozí dokument, který vymezuje možnost podpory sdružování zemědělských výrobců je Nařízení Evropského parlamentu a Rady EU (EU) č. 1308/20013 ze dne 17. prosince 2013, kterým se stanoví společná organizace trhů se zemědělskými produkty, v platném znění; navazující legislativa je zmíněna v kapitole 1. Z legislativy vyplývá možnost finanční podpory uznaným organizacím producentů v odvětví ovoce a zeleniny a oliv a možnost finanční podpory v odvětví vína a včelařství. Podpora sdružování bez finanční podpory je upravena pro odvětví mléka. Další nefinanční podpora spočívá v možnosti uznání sdružení organizací producentů a uznání mezioborových organizací (bez jmenovitého výčtu odvětví). </w:t>
      </w:r>
    </w:p>
    <w:p w14:paraId="0CB80447" w14:textId="77777777" w:rsidR="00AA3A5F" w:rsidRPr="00B25A22" w:rsidRDefault="00AA3A5F" w:rsidP="007D69D6">
      <w:pPr>
        <w:pStyle w:val="UZEINormaln"/>
      </w:pPr>
      <w:r w:rsidRPr="00B25A22">
        <w:t xml:space="preserve">Přehled uznaných OP je uveden v tabulce 16. Tabulka uvádí základní tržby odvětví, ve kterých fungují uznané OP, odhady podílů uznaných OP na tržbách odvětví a současně vyčísluje odhad 5 % z tržeb uznaných OP. Zdroj dat pro výpočet tržeb OP je uveden pod tabulkou. Navíc jsou do tabulky zahrnuta odvětví, ve kterých nejsou k 31. 1. 2019 OP uznány, ale odvětví byla v rámci pracovní skupiny Konkurenceschopnost zařazena do výběru potenciálních uživatelů odvětvových intervencí. Přehled potvrzuje nejvyšší organizovanost v odvětví mléka a vysokou organizovanost v odvětví OZEL a vejce.  S ohledem na využívání odvětvových intervencí v odvětví OZEL v předchozích obdobích jsou u tohoto odvětví uvedena data o využívání jednotlivých opatření operačních programů (tab. 17 až 19). </w:t>
      </w:r>
    </w:p>
    <w:p w14:paraId="0A88C56E" w14:textId="77777777" w:rsidR="00AA3A5F" w:rsidRPr="00B25A22" w:rsidRDefault="00AA3A5F" w:rsidP="007D69D6">
      <w:pPr>
        <w:pStyle w:val="UZEINormaln"/>
      </w:pPr>
      <w:r w:rsidRPr="00B25A22">
        <w:t xml:space="preserve">Organizovanost odvětví je dána povahou produktu, která z organizovanosti vytváří určitou nezbytnost. To je případ odvětví mléka a OZEL (mléko – neodkladnost produkce a vazba na svoznou linku, OZEL – možnost konzumace produktů bez výraznější přidané hodnoty zpracováním). Dále je organizovanost předurčena velikostí zemědělských podniků. Vzhledem </w:t>
      </w:r>
      <w:r w:rsidRPr="00B25A22">
        <w:lastRenderedPageBreak/>
        <w:t>k tomu, že v zemědělské výrobě působí velké zemědělské podniky a velká část produkce odvětví je silně koncentrovaná (viz kap. 2 „Stanovení skutečného problému, tab. 6 až 12), není u těchto podniků motivace ke sdružování. Kromě velkých farem stále existuje řada malých farem, pro které je tento druh podpory relevantní. V rámci regionů nemáme informace o tom, že by existovaly ve spolupráci a penetraci organizací producentů nějaké významné regionální rozdíly.</w:t>
      </w:r>
    </w:p>
    <w:p w14:paraId="3C0AB1D4" w14:textId="77777777" w:rsidR="00AA3A5F" w:rsidRPr="00B25A22" w:rsidRDefault="00AA3A5F" w:rsidP="00AA3A5F">
      <w:pPr>
        <w:rPr>
          <w:rFonts w:cs="Times New Roman"/>
          <w:sz w:val="22"/>
          <w:lang w:val="cs-CZ"/>
        </w:rPr>
      </w:pPr>
      <w:r w:rsidRPr="00B25A22">
        <w:rPr>
          <w:rFonts w:cs="Times New Roman"/>
          <w:sz w:val="22"/>
          <w:lang w:val="cs-CZ"/>
        </w:rPr>
        <w:t xml:space="preserve">  </w:t>
      </w:r>
    </w:p>
    <w:p w14:paraId="0154D395" w14:textId="77777777" w:rsidR="00AA3A5F" w:rsidRPr="00B25A22" w:rsidRDefault="00AA3A5F" w:rsidP="00AA3A5F">
      <w:pPr>
        <w:rPr>
          <w:rFonts w:cs="Times New Roman"/>
          <w:sz w:val="22"/>
          <w:lang w:val="cs-CZ"/>
        </w:rPr>
      </w:pPr>
    </w:p>
    <w:p w14:paraId="2E45AC22" w14:textId="77777777" w:rsidR="00AA3A5F" w:rsidRPr="00B25A22" w:rsidRDefault="00AA3A5F" w:rsidP="00AA3A5F">
      <w:pPr>
        <w:rPr>
          <w:rFonts w:eastAsia="Calibri" w:cs="Times New Roman"/>
          <w:sz w:val="22"/>
          <w:lang w:val="cs-CZ"/>
        </w:rPr>
        <w:sectPr w:rsidR="00AA3A5F" w:rsidRPr="00B25A22" w:rsidSect="007A68D5">
          <w:headerReference w:type="even" r:id="rId24"/>
          <w:headerReference w:type="default" r:id="rId25"/>
          <w:footerReference w:type="default" r:id="rId26"/>
          <w:headerReference w:type="first" r:id="rId27"/>
          <w:pgSz w:w="11906" w:h="16838"/>
          <w:pgMar w:top="1417" w:right="1417" w:bottom="1417" w:left="1417" w:header="708" w:footer="708" w:gutter="0"/>
          <w:cols w:space="708"/>
          <w:titlePg/>
          <w:docGrid w:linePitch="360"/>
        </w:sectPr>
      </w:pPr>
    </w:p>
    <w:p w14:paraId="41E96640" w14:textId="36D01BC2" w:rsidR="00AA3A5F" w:rsidRPr="00B25A22" w:rsidRDefault="007D69D6" w:rsidP="007D69D6">
      <w:pPr>
        <w:pStyle w:val="UZEITaB"/>
        <w:rPr>
          <w:rFonts w:eastAsia="Calibri"/>
        </w:rPr>
      </w:pPr>
      <w:r>
        <w:rPr>
          <w:rFonts w:eastAsia="Calibri"/>
        </w:rPr>
        <w:lastRenderedPageBreak/>
        <w:t xml:space="preserve"> </w:t>
      </w:r>
      <w:bookmarkStart w:id="66" w:name="_Toc81743452"/>
      <w:r w:rsidR="00AA3A5F" w:rsidRPr="00B25A22">
        <w:rPr>
          <w:rFonts w:eastAsia="Calibri"/>
        </w:rPr>
        <w:t>Uznané organizace producentů k 31. 1. 2019 a jejich podíl na tržbách vybraných odvětví</w:t>
      </w:r>
      <w:bookmarkEnd w:id="66"/>
    </w:p>
    <w:tbl>
      <w:tblPr>
        <w:tblW w:w="5000" w:type="pct"/>
        <w:tblCellMar>
          <w:left w:w="70" w:type="dxa"/>
          <w:right w:w="70" w:type="dxa"/>
        </w:tblCellMar>
        <w:tblLook w:val="04A0" w:firstRow="1" w:lastRow="0" w:firstColumn="1" w:lastColumn="0" w:noHBand="0" w:noVBand="1"/>
      </w:tblPr>
      <w:tblGrid>
        <w:gridCol w:w="1790"/>
        <w:gridCol w:w="966"/>
        <w:gridCol w:w="966"/>
        <w:gridCol w:w="966"/>
        <w:gridCol w:w="969"/>
        <w:gridCol w:w="2696"/>
        <w:gridCol w:w="1346"/>
        <w:gridCol w:w="1346"/>
        <w:gridCol w:w="2929"/>
      </w:tblGrid>
      <w:tr w:rsidR="00AA3A5F" w:rsidRPr="00B25A22" w14:paraId="1662B0D8" w14:textId="77777777" w:rsidTr="007A68D5">
        <w:trPr>
          <w:trHeight w:val="870"/>
        </w:trPr>
        <w:tc>
          <w:tcPr>
            <w:tcW w:w="638" w:type="pct"/>
            <w:vMerge w:val="restart"/>
            <w:tcBorders>
              <w:top w:val="single" w:sz="12" w:space="0" w:color="auto"/>
              <w:left w:val="single" w:sz="12" w:space="0" w:color="auto"/>
              <w:bottom w:val="single" w:sz="4" w:space="0" w:color="000000"/>
              <w:right w:val="single" w:sz="4" w:space="0" w:color="auto"/>
            </w:tcBorders>
            <w:shd w:val="clear" w:color="auto" w:fill="auto"/>
            <w:noWrap/>
            <w:vAlign w:val="bottom"/>
            <w:hideMark/>
          </w:tcPr>
          <w:p w14:paraId="320478AF"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 </w:t>
            </w:r>
          </w:p>
        </w:tc>
        <w:tc>
          <w:tcPr>
            <w:tcW w:w="1385" w:type="pct"/>
            <w:gridSpan w:val="4"/>
            <w:tcBorders>
              <w:top w:val="single" w:sz="12" w:space="0" w:color="auto"/>
              <w:left w:val="nil"/>
              <w:bottom w:val="single" w:sz="4" w:space="0" w:color="auto"/>
              <w:right w:val="single" w:sz="4" w:space="0" w:color="000000"/>
            </w:tcBorders>
            <w:shd w:val="clear" w:color="auto" w:fill="auto"/>
            <w:noWrap/>
            <w:vAlign w:val="center"/>
            <w:hideMark/>
          </w:tcPr>
          <w:p w14:paraId="7096A20B"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Tržby odvětví v mil. Kč.</w:t>
            </w:r>
          </w:p>
        </w:tc>
        <w:tc>
          <w:tcPr>
            <w:tcW w:w="2977" w:type="pct"/>
            <w:gridSpan w:val="4"/>
            <w:tcBorders>
              <w:top w:val="single" w:sz="12" w:space="0" w:color="auto"/>
              <w:left w:val="nil"/>
              <w:bottom w:val="single" w:sz="4" w:space="0" w:color="auto"/>
              <w:right w:val="single" w:sz="12" w:space="0" w:color="auto"/>
            </w:tcBorders>
            <w:shd w:val="clear" w:color="auto" w:fill="auto"/>
            <w:vAlign w:val="center"/>
            <w:hideMark/>
          </w:tcPr>
          <w:p w14:paraId="5DD38358"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Uznané organizace producentů</w:t>
            </w:r>
          </w:p>
        </w:tc>
      </w:tr>
      <w:tr w:rsidR="00AA3A5F" w:rsidRPr="000703B9" w14:paraId="58BC843B" w14:textId="77777777" w:rsidTr="007A68D5">
        <w:trPr>
          <w:trHeight w:val="1245"/>
        </w:trPr>
        <w:tc>
          <w:tcPr>
            <w:tcW w:w="638" w:type="pct"/>
            <w:vMerge/>
            <w:tcBorders>
              <w:top w:val="single" w:sz="8" w:space="0" w:color="auto"/>
              <w:left w:val="single" w:sz="12" w:space="0" w:color="auto"/>
              <w:bottom w:val="single" w:sz="4" w:space="0" w:color="000000"/>
              <w:right w:val="single" w:sz="4" w:space="0" w:color="auto"/>
            </w:tcBorders>
            <w:shd w:val="clear" w:color="auto" w:fill="auto"/>
            <w:vAlign w:val="center"/>
            <w:hideMark/>
          </w:tcPr>
          <w:p w14:paraId="63271B32" w14:textId="77777777" w:rsidR="00AA3A5F" w:rsidRPr="00B25A22" w:rsidRDefault="00AA3A5F" w:rsidP="007A68D5">
            <w:pPr>
              <w:jc w:val="left"/>
              <w:rPr>
                <w:rFonts w:cs="Times New Roman"/>
                <w:color w:val="000000"/>
                <w:lang w:val="cs-CZ"/>
              </w:rPr>
            </w:pPr>
          </w:p>
        </w:tc>
        <w:tc>
          <w:tcPr>
            <w:tcW w:w="346" w:type="pct"/>
            <w:tcBorders>
              <w:top w:val="nil"/>
              <w:left w:val="nil"/>
              <w:bottom w:val="single" w:sz="4" w:space="0" w:color="auto"/>
              <w:right w:val="single" w:sz="4" w:space="0" w:color="auto"/>
            </w:tcBorders>
            <w:shd w:val="clear" w:color="auto" w:fill="auto"/>
            <w:noWrap/>
            <w:vAlign w:val="center"/>
            <w:hideMark/>
          </w:tcPr>
          <w:p w14:paraId="6E4B2700"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2015</w:t>
            </w:r>
          </w:p>
        </w:tc>
        <w:tc>
          <w:tcPr>
            <w:tcW w:w="346" w:type="pct"/>
            <w:tcBorders>
              <w:top w:val="nil"/>
              <w:left w:val="nil"/>
              <w:bottom w:val="single" w:sz="4" w:space="0" w:color="auto"/>
              <w:right w:val="single" w:sz="4" w:space="0" w:color="auto"/>
            </w:tcBorders>
            <w:shd w:val="clear" w:color="auto" w:fill="auto"/>
            <w:noWrap/>
            <w:vAlign w:val="center"/>
            <w:hideMark/>
          </w:tcPr>
          <w:p w14:paraId="54242309"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2016</w:t>
            </w:r>
          </w:p>
        </w:tc>
        <w:tc>
          <w:tcPr>
            <w:tcW w:w="346" w:type="pct"/>
            <w:tcBorders>
              <w:top w:val="nil"/>
              <w:left w:val="nil"/>
              <w:bottom w:val="single" w:sz="4" w:space="0" w:color="auto"/>
              <w:right w:val="single" w:sz="4" w:space="0" w:color="auto"/>
            </w:tcBorders>
            <w:shd w:val="clear" w:color="auto" w:fill="auto"/>
            <w:noWrap/>
            <w:vAlign w:val="center"/>
            <w:hideMark/>
          </w:tcPr>
          <w:p w14:paraId="0960E9D0"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2017</w:t>
            </w:r>
          </w:p>
        </w:tc>
        <w:tc>
          <w:tcPr>
            <w:tcW w:w="347" w:type="pct"/>
            <w:tcBorders>
              <w:top w:val="nil"/>
              <w:left w:val="nil"/>
              <w:bottom w:val="single" w:sz="4" w:space="0" w:color="auto"/>
              <w:right w:val="single" w:sz="4" w:space="0" w:color="auto"/>
            </w:tcBorders>
            <w:shd w:val="clear" w:color="auto" w:fill="auto"/>
            <w:noWrap/>
            <w:vAlign w:val="center"/>
            <w:hideMark/>
          </w:tcPr>
          <w:p w14:paraId="65F6865C"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Průměr</w:t>
            </w:r>
          </w:p>
        </w:tc>
        <w:tc>
          <w:tcPr>
            <w:tcW w:w="965" w:type="pct"/>
            <w:tcBorders>
              <w:top w:val="nil"/>
              <w:left w:val="nil"/>
              <w:bottom w:val="single" w:sz="4" w:space="0" w:color="auto"/>
              <w:right w:val="single" w:sz="4" w:space="0" w:color="auto"/>
            </w:tcBorders>
            <w:shd w:val="clear" w:color="auto" w:fill="auto"/>
            <w:vAlign w:val="center"/>
            <w:hideMark/>
          </w:tcPr>
          <w:p w14:paraId="3D8D614C" w14:textId="11E6E562"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Počet uznaných organizací producentů k 31.</w:t>
            </w:r>
            <w:r w:rsidR="000703B9">
              <w:rPr>
                <w:rFonts w:cs="Times New Roman"/>
                <w:b/>
                <w:bCs/>
                <w:color w:val="000000"/>
                <w:sz w:val="22"/>
                <w:lang w:val="cs-CZ"/>
              </w:rPr>
              <w:t xml:space="preserve"> </w:t>
            </w:r>
            <w:r w:rsidRPr="00B25A22">
              <w:rPr>
                <w:rFonts w:cs="Times New Roman"/>
                <w:b/>
                <w:bCs/>
                <w:color w:val="000000"/>
                <w:sz w:val="22"/>
                <w:lang w:val="cs-CZ"/>
              </w:rPr>
              <w:t>1.</w:t>
            </w:r>
            <w:r w:rsidR="000703B9">
              <w:rPr>
                <w:rFonts w:cs="Times New Roman"/>
                <w:b/>
                <w:bCs/>
                <w:color w:val="000000"/>
                <w:sz w:val="22"/>
                <w:lang w:val="cs-CZ"/>
              </w:rPr>
              <w:t xml:space="preserve"> </w:t>
            </w:r>
            <w:r w:rsidRPr="00B25A22">
              <w:rPr>
                <w:rFonts w:cs="Times New Roman"/>
                <w:b/>
                <w:bCs/>
                <w:color w:val="000000"/>
                <w:sz w:val="22"/>
                <w:lang w:val="cs-CZ"/>
              </w:rPr>
              <w:t>2018</w:t>
            </w:r>
          </w:p>
        </w:tc>
        <w:tc>
          <w:tcPr>
            <w:tcW w:w="964" w:type="pct"/>
            <w:gridSpan w:val="2"/>
            <w:tcBorders>
              <w:top w:val="nil"/>
              <w:left w:val="nil"/>
              <w:bottom w:val="single" w:sz="4" w:space="0" w:color="auto"/>
              <w:right w:val="single" w:sz="4" w:space="0" w:color="auto"/>
            </w:tcBorders>
            <w:shd w:val="clear" w:color="auto" w:fill="auto"/>
            <w:vAlign w:val="center"/>
            <w:hideMark/>
          </w:tcPr>
          <w:p w14:paraId="73DA6D55"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 xml:space="preserve">Tržby uznaných organizací producentů </w:t>
            </w:r>
            <w:r w:rsidRPr="00B25A22">
              <w:rPr>
                <w:rFonts w:cs="Times New Roman"/>
                <w:b/>
                <w:bCs/>
                <w:color w:val="000000"/>
                <w:sz w:val="22"/>
                <w:vertAlign w:val="superscript"/>
                <w:lang w:val="cs-CZ"/>
              </w:rPr>
              <w:t>1)</w:t>
            </w:r>
            <w:r w:rsidRPr="00B25A22">
              <w:rPr>
                <w:rFonts w:cs="Times New Roman"/>
                <w:b/>
                <w:bCs/>
                <w:color w:val="000000"/>
                <w:sz w:val="22"/>
                <w:lang w:val="cs-CZ"/>
              </w:rPr>
              <w:t xml:space="preserve">  </w:t>
            </w:r>
          </w:p>
          <w:p w14:paraId="1DA15615" w14:textId="77777777" w:rsidR="00AA3A5F" w:rsidRPr="00B25A22" w:rsidRDefault="00AA3A5F" w:rsidP="007A68D5">
            <w:pPr>
              <w:jc w:val="center"/>
              <w:rPr>
                <w:rFonts w:cs="Times New Roman"/>
                <w:b/>
                <w:bCs/>
                <w:color w:val="000000"/>
                <w:lang w:val="cs-CZ"/>
              </w:rPr>
            </w:pPr>
          </w:p>
        </w:tc>
        <w:tc>
          <w:tcPr>
            <w:tcW w:w="1048" w:type="pct"/>
            <w:tcBorders>
              <w:top w:val="nil"/>
              <w:left w:val="nil"/>
              <w:bottom w:val="single" w:sz="4" w:space="0" w:color="auto"/>
              <w:right w:val="single" w:sz="12" w:space="0" w:color="auto"/>
            </w:tcBorders>
            <w:shd w:val="clear" w:color="auto" w:fill="F2F2F2" w:themeFill="background1" w:themeFillShade="F2"/>
            <w:vAlign w:val="center"/>
            <w:hideMark/>
          </w:tcPr>
          <w:p w14:paraId="51703560"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 xml:space="preserve">Podíl uznaných organizací producentů na tržbách odvětví </w:t>
            </w:r>
          </w:p>
        </w:tc>
      </w:tr>
      <w:tr w:rsidR="00AA3A5F" w:rsidRPr="00B25A22" w14:paraId="3997C5CD" w14:textId="77777777" w:rsidTr="007A68D5">
        <w:trPr>
          <w:trHeight w:val="536"/>
        </w:trPr>
        <w:tc>
          <w:tcPr>
            <w:tcW w:w="638" w:type="pct"/>
            <w:tcBorders>
              <w:top w:val="nil"/>
              <w:left w:val="single" w:sz="12" w:space="0" w:color="auto"/>
              <w:bottom w:val="single" w:sz="4" w:space="0" w:color="auto"/>
              <w:right w:val="single" w:sz="4" w:space="0" w:color="auto"/>
            </w:tcBorders>
            <w:shd w:val="clear" w:color="auto" w:fill="auto"/>
            <w:noWrap/>
            <w:vAlign w:val="bottom"/>
            <w:hideMark/>
          </w:tcPr>
          <w:p w14:paraId="5329BBE6" w14:textId="77777777" w:rsidR="00AA3A5F" w:rsidRPr="00B25A22" w:rsidRDefault="00AA3A5F" w:rsidP="007A68D5">
            <w:pPr>
              <w:jc w:val="left"/>
              <w:rPr>
                <w:rFonts w:cs="Times New Roman"/>
                <w:color w:val="000000"/>
                <w:lang w:val="cs-CZ"/>
              </w:rPr>
            </w:pPr>
            <w:r w:rsidRPr="00B25A22">
              <w:rPr>
                <w:rFonts w:cs="Times New Roman"/>
                <w:color w:val="000000"/>
                <w:sz w:val="22"/>
                <w:lang w:val="cs-CZ"/>
              </w:rPr>
              <w:t> </w:t>
            </w:r>
          </w:p>
        </w:tc>
        <w:tc>
          <w:tcPr>
            <w:tcW w:w="346" w:type="pct"/>
            <w:tcBorders>
              <w:top w:val="nil"/>
              <w:left w:val="nil"/>
              <w:bottom w:val="single" w:sz="4" w:space="0" w:color="auto"/>
              <w:right w:val="single" w:sz="4" w:space="0" w:color="auto"/>
            </w:tcBorders>
            <w:shd w:val="clear" w:color="auto" w:fill="auto"/>
            <w:noWrap/>
            <w:vAlign w:val="center"/>
            <w:hideMark/>
          </w:tcPr>
          <w:p w14:paraId="031A590D"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mil. Kč</w:t>
            </w:r>
          </w:p>
        </w:tc>
        <w:tc>
          <w:tcPr>
            <w:tcW w:w="346" w:type="pct"/>
            <w:tcBorders>
              <w:top w:val="nil"/>
              <w:left w:val="nil"/>
              <w:bottom w:val="single" w:sz="4" w:space="0" w:color="auto"/>
              <w:right w:val="single" w:sz="4" w:space="0" w:color="auto"/>
            </w:tcBorders>
            <w:shd w:val="clear" w:color="auto" w:fill="auto"/>
            <w:noWrap/>
            <w:vAlign w:val="center"/>
            <w:hideMark/>
          </w:tcPr>
          <w:p w14:paraId="24D6E9D1"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mil. Kč</w:t>
            </w:r>
          </w:p>
        </w:tc>
        <w:tc>
          <w:tcPr>
            <w:tcW w:w="346" w:type="pct"/>
            <w:tcBorders>
              <w:top w:val="nil"/>
              <w:left w:val="nil"/>
              <w:bottom w:val="single" w:sz="4" w:space="0" w:color="auto"/>
              <w:right w:val="single" w:sz="4" w:space="0" w:color="auto"/>
            </w:tcBorders>
            <w:shd w:val="clear" w:color="auto" w:fill="auto"/>
            <w:noWrap/>
            <w:vAlign w:val="center"/>
            <w:hideMark/>
          </w:tcPr>
          <w:p w14:paraId="63D4C334"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mil. Kč</w:t>
            </w:r>
          </w:p>
        </w:tc>
        <w:tc>
          <w:tcPr>
            <w:tcW w:w="347" w:type="pct"/>
            <w:tcBorders>
              <w:top w:val="nil"/>
              <w:left w:val="nil"/>
              <w:bottom w:val="single" w:sz="4" w:space="0" w:color="auto"/>
              <w:right w:val="single" w:sz="4" w:space="0" w:color="auto"/>
            </w:tcBorders>
            <w:shd w:val="clear" w:color="auto" w:fill="auto"/>
            <w:noWrap/>
            <w:vAlign w:val="center"/>
            <w:hideMark/>
          </w:tcPr>
          <w:p w14:paraId="74518F48"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mil. Kč</w:t>
            </w:r>
          </w:p>
        </w:tc>
        <w:tc>
          <w:tcPr>
            <w:tcW w:w="965" w:type="pct"/>
            <w:tcBorders>
              <w:top w:val="nil"/>
              <w:left w:val="nil"/>
              <w:bottom w:val="single" w:sz="4" w:space="0" w:color="auto"/>
              <w:right w:val="single" w:sz="4" w:space="0" w:color="auto"/>
            </w:tcBorders>
            <w:shd w:val="clear" w:color="auto" w:fill="auto"/>
            <w:noWrap/>
            <w:vAlign w:val="center"/>
            <w:hideMark/>
          </w:tcPr>
          <w:p w14:paraId="77F2C4D9"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 </w:t>
            </w:r>
          </w:p>
        </w:tc>
        <w:tc>
          <w:tcPr>
            <w:tcW w:w="482" w:type="pct"/>
            <w:tcBorders>
              <w:top w:val="nil"/>
              <w:left w:val="nil"/>
              <w:bottom w:val="single" w:sz="4" w:space="0" w:color="auto"/>
              <w:right w:val="single" w:sz="4" w:space="0" w:color="auto"/>
            </w:tcBorders>
            <w:shd w:val="clear" w:color="auto" w:fill="auto"/>
            <w:noWrap/>
            <w:vAlign w:val="center"/>
            <w:hideMark/>
          </w:tcPr>
          <w:p w14:paraId="3776B73D"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mil. Kč</w:t>
            </w:r>
          </w:p>
        </w:tc>
        <w:tc>
          <w:tcPr>
            <w:tcW w:w="482" w:type="pct"/>
            <w:tcBorders>
              <w:top w:val="nil"/>
              <w:left w:val="nil"/>
              <w:bottom w:val="single" w:sz="4" w:space="0" w:color="auto"/>
              <w:right w:val="single" w:sz="4" w:space="0" w:color="auto"/>
            </w:tcBorders>
            <w:shd w:val="clear" w:color="auto" w:fill="auto"/>
            <w:noWrap/>
            <w:vAlign w:val="center"/>
            <w:hideMark/>
          </w:tcPr>
          <w:p w14:paraId="6060631E"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rok </w:t>
            </w:r>
          </w:p>
        </w:tc>
        <w:tc>
          <w:tcPr>
            <w:tcW w:w="1048" w:type="pct"/>
            <w:tcBorders>
              <w:top w:val="nil"/>
              <w:left w:val="nil"/>
              <w:bottom w:val="single" w:sz="4" w:space="0" w:color="auto"/>
              <w:right w:val="single" w:sz="12" w:space="0" w:color="auto"/>
            </w:tcBorders>
            <w:shd w:val="clear" w:color="auto" w:fill="F2F2F2" w:themeFill="background1" w:themeFillShade="F2"/>
            <w:noWrap/>
            <w:vAlign w:val="center"/>
            <w:hideMark/>
          </w:tcPr>
          <w:p w14:paraId="6CC76C6F" w14:textId="77777777" w:rsidR="00AA3A5F" w:rsidRPr="00B25A22" w:rsidRDefault="00AA3A5F" w:rsidP="007A68D5">
            <w:pPr>
              <w:jc w:val="center"/>
              <w:rPr>
                <w:rFonts w:cs="Times New Roman"/>
                <w:b/>
                <w:bCs/>
                <w:color w:val="000000"/>
                <w:lang w:val="cs-CZ"/>
              </w:rPr>
            </w:pPr>
            <w:r w:rsidRPr="00B25A22">
              <w:rPr>
                <w:rFonts w:cs="Times New Roman"/>
                <w:b/>
                <w:bCs/>
                <w:color w:val="000000"/>
                <w:sz w:val="22"/>
                <w:lang w:val="cs-CZ"/>
              </w:rPr>
              <w:t xml:space="preserve">% </w:t>
            </w:r>
          </w:p>
        </w:tc>
      </w:tr>
      <w:tr w:rsidR="00AA3A5F" w:rsidRPr="00B25A22" w14:paraId="6D0F7862" w14:textId="77777777" w:rsidTr="007A68D5">
        <w:trPr>
          <w:trHeight w:val="536"/>
        </w:trPr>
        <w:tc>
          <w:tcPr>
            <w:tcW w:w="638" w:type="pct"/>
            <w:tcBorders>
              <w:top w:val="nil"/>
              <w:left w:val="single" w:sz="12" w:space="0" w:color="auto"/>
              <w:bottom w:val="single" w:sz="4" w:space="0" w:color="auto"/>
              <w:right w:val="single" w:sz="4" w:space="0" w:color="auto"/>
            </w:tcBorders>
            <w:shd w:val="clear" w:color="auto" w:fill="auto"/>
            <w:noWrap/>
            <w:vAlign w:val="center"/>
            <w:hideMark/>
          </w:tcPr>
          <w:p w14:paraId="0E8C1D78" w14:textId="77777777" w:rsidR="00AA3A5F" w:rsidRPr="00B25A22" w:rsidRDefault="00AA3A5F" w:rsidP="007A68D5">
            <w:pPr>
              <w:jc w:val="left"/>
              <w:rPr>
                <w:rFonts w:cs="Times New Roman"/>
                <w:b/>
                <w:color w:val="000000"/>
                <w:lang w:val="cs-CZ"/>
              </w:rPr>
            </w:pPr>
            <w:r w:rsidRPr="00B25A22">
              <w:rPr>
                <w:rFonts w:cs="Times New Roman"/>
                <w:b/>
                <w:color w:val="000000"/>
                <w:sz w:val="22"/>
                <w:lang w:val="cs-CZ"/>
              </w:rPr>
              <w:t>vepřové maso</w:t>
            </w:r>
          </w:p>
        </w:tc>
        <w:tc>
          <w:tcPr>
            <w:tcW w:w="346" w:type="pct"/>
            <w:tcBorders>
              <w:top w:val="nil"/>
              <w:left w:val="nil"/>
              <w:bottom w:val="single" w:sz="4" w:space="0" w:color="auto"/>
              <w:right w:val="single" w:sz="4" w:space="0" w:color="auto"/>
            </w:tcBorders>
            <w:shd w:val="clear" w:color="auto" w:fill="auto"/>
            <w:noWrap/>
            <w:vAlign w:val="center"/>
            <w:hideMark/>
          </w:tcPr>
          <w:p w14:paraId="30534FD3"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8 285</w:t>
            </w:r>
          </w:p>
        </w:tc>
        <w:tc>
          <w:tcPr>
            <w:tcW w:w="346" w:type="pct"/>
            <w:tcBorders>
              <w:top w:val="nil"/>
              <w:left w:val="nil"/>
              <w:bottom w:val="single" w:sz="4" w:space="0" w:color="auto"/>
              <w:right w:val="single" w:sz="4" w:space="0" w:color="auto"/>
            </w:tcBorders>
            <w:shd w:val="clear" w:color="auto" w:fill="auto"/>
            <w:noWrap/>
            <w:vAlign w:val="center"/>
            <w:hideMark/>
          </w:tcPr>
          <w:p w14:paraId="072A1338"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8 795</w:t>
            </w:r>
          </w:p>
        </w:tc>
        <w:tc>
          <w:tcPr>
            <w:tcW w:w="346" w:type="pct"/>
            <w:tcBorders>
              <w:top w:val="nil"/>
              <w:left w:val="nil"/>
              <w:bottom w:val="single" w:sz="4" w:space="0" w:color="auto"/>
              <w:right w:val="single" w:sz="4" w:space="0" w:color="auto"/>
            </w:tcBorders>
            <w:shd w:val="clear" w:color="auto" w:fill="auto"/>
            <w:noWrap/>
            <w:vAlign w:val="center"/>
            <w:hideMark/>
          </w:tcPr>
          <w:p w14:paraId="742FFC58"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9 195</w:t>
            </w:r>
          </w:p>
        </w:tc>
        <w:tc>
          <w:tcPr>
            <w:tcW w:w="347" w:type="pct"/>
            <w:tcBorders>
              <w:top w:val="nil"/>
              <w:left w:val="nil"/>
              <w:bottom w:val="single" w:sz="4" w:space="0" w:color="auto"/>
              <w:right w:val="single" w:sz="4" w:space="0" w:color="auto"/>
            </w:tcBorders>
            <w:shd w:val="clear" w:color="auto" w:fill="auto"/>
            <w:noWrap/>
            <w:vAlign w:val="center"/>
            <w:hideMark/>
          </w:tcPr>
          <w:p w14:paraId="6FF0B43A"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8 758</w:t>
            </w:r>
          </w:p>
        </w:tc>
        <w:tc>
          <w:tcPr>
            <w:tcW w:w="965" w:type="pct"/>
            <w:tcBorders>
              <w:top w:val="nil"/>
              <w:left w:val="nil"/>
              <w:bottom w:val="single" w:sz="4" w:space="0" w:color="auto"/>
              <w:right w:val="single" w:sz="4" w:space="0" w:color="auto"/>
            </w:tcBorders>
            <w:shd w:val="clear" w:color="auto" w:fill="auto"/>
            <w:noWrap/>
            <w:vAlign w:val="center"/>
            <w:hideMark/>
          </w:tcPr>
          <w:p w14:paraId="003F0372" w14:textId="77777777" w:rsidR="00AA3A5F" w:rsidRPr="00B25A22" w:rsidRDefault="00AA3A5F" w:rsidP="007A68D5">
            <w:pPr>
              <w:jc w:val="center"/>
              <w:rPr>
                <w:rFonts w:cs="Times New Roman"/>
                <w:lang w:val="cs-CZ"/>
              </w:rPr>
            </w:pPr>
            <w:proofErr w:type="spellStart"/>
            <w:r w:rsidRPr="00B25A22">
              <w:rPr>
                <w:rFonts w:cs="Times New Roman"/>
                <w:sz w:val="22"/>
                <w:lang w:val="cs-CZ"/>
              </w:rPr>
              <w:t>Agropork</w:t>
            </w:r>
            <w:proofErr w:type="spellEnd"/>
            <w:r w:rsidRPr="00B25A22">
              <w:rPr>
                <w:rFonts w:cs="Times New Roman"/>
                <w:sz w:val="22"/>
                <w:lang w:val="cs-CZ"/>
              </w:rPr>
              <w:t>. C. Z. (1)</w:t>
            </w:r>
          </w:p>
        </w:tc>
        <w:tc>
          <w:tcPr>
            <w:tcW w:w="482" w:type="pct"/>
            <w:tcBorders>
              <w:top w:val="nil"/>
              <w:left w:val="nil"/>
              <w:bottom w:val="single" w:sz="4" w:space="0" w:color="auto"/>
              <w:right w:val="single" w:sz="4" w:space="0" w:color="auto"/>
            </w:tcBorders>
            <w:shd w:val="clear" w:color="auto" w:fill="auto"/>
            <w:noWrap/>
            <w:vAlign w:val="center"/>
            <w:hideMark/>
          </w:tcPr>
          <w:p w14:paraId="0C73CEF6" w14:textId="77777777" w:rsidR="00AA3A5F" w:rsidRPr="00B25A22" w:rsidRDefault="00AA3A5F" w:rsidP="007A68D5">
            <w:pPr>
              <w:jc w:val="center"/>
              <w:rPr>
                <w:rFonts w:cs="Times New Roman"/>
                <w:bCs/>
                <w:color w:val="000000"/>
                <w:lang w:val="cs-CZ"/>
              </w:rPr>
            </w:pPr>
            <w:r w:rsidRPr="00B25A22">
              <w:rPr>
                <w:rFonts w:cs="Times New Roman"/>
                <w:bCs/>
                <w:color w:val="000000"/>
                <w:sz w:val="22"/>
                <w:lang w:val="cs-CZ"/>
              </w:rPr>
              <w:t>262</w:t>
            </w:r>
          </w:p>
        </w:tc>
        <w:tc>
          <w:tcPr>
            <w:tcW w:w="482" w:type="pct"/>
            <w:tcBorders>
              <w:top w:val="nil"/>
              <w:left w:val="nil"/>
              <w:bottom w:val="single" w:sz="4" w:space="0" w:color="auto"/>
              <w:right w:val="single" w:sz="4" w:space="0" w:color="auto"/>
            </w:tcBorders>
            <w:shd w:val="clear" w:color="auto" w:fill="auto"/>
            <w:noWrap/>
            <w:vAlign w:val="center"/>
            <w:hideMark/>
          </w:tcPr>
          <w:p w14:paraId="51D75CBA" w14:textId="77777777" w:rsidR="00AA3A5F" w:rsidRPr="00B25A22" w:rsidRDefault="00AA3A5F" w:rsidP="007A68D5">
            <w:pPr>
              <w:jc w:val="center"/>
              <w:rPr>
                <w:rFonts w:cs="Times New Roman"/>
                <w:lang w:val="cs-CZ"/>
              </w:rPr>
            </w:pPr>
            <w:r w:rsidRPr="00B25A22">
              <w:rPr>
                <w:rFonts w:cs="Times New Roman"/>
                <w:sz w:val="22"/>
                <w:lang w:val="cs-CZ"/>
              </w:rPr>
              <w:t>2018</w:t>
            </w:r>
          </w:p>
        </w:tc>
        <w:tc>
          <w:tcPr>
            <w:tcW w:w="1048" w:type="pct"/>
            <w:tcBorders>
              <w:top w:val="nil"/>
              <w:left w:val="nil"/>
              <w:bottom w:val="single" w:sz="4" w:space="0" w:color="auto"/>
              <w:right w:val="single" w:sz="12" w:space="0" w:color="auto"/>
            </w:tcBorders>
            <w:shd w:val="clear" w:color="auto" w:fill="F2F2F2" w:themeFill="background1" w:themeFillShade="F2"/>
            <w:noWrap/>
            <w:vAlign w:val="center"/>
            <w:hideMark/>
          </w:tcPr>
          <w:p w14:paraId="4E0D3DFA" w14:textId="77777777" w:rsidR="00AA3A5F" w:rsidRPr="00B25A22" w:rsidRDefault="00AA3A5F" w:rsidP="007A68D5">
            <w:pPr>
              <w:jc w:val="center"/>
              <w:rPr>
                <w:rFonts w:cs="Times New Roman"/>
                <w:bCs/>
                <w:lang w:val="cs-CZ"/>
              </w:rPr>
            </w:pPr>
            <w:r w:rsidRPr="00B25A22">
              <w:rPr>
                <w:rFonts w:cs="Times New Roman"/>
                <w:bCs/>
                <w:sz w:val="22"/>
                <w:lang w:val="cs-CZ"/>
              </w:rPr>
              <w:t>3,0</w:t>
            </w:r>
          </w:p>
        </w:tc>
      </w:tr>
      <w:tr w:rsidR="00AA3A5F" w:rsidRPr="00B25A22" w14:paraId="069303DC" w14:textId="77777777" w:rsidTr="007A68D5">
        <w:trPr>
          <w:trHeight w:val="536"/>
        </w:trPr>
        <w:tc>
          <w:tcPr>
            <w:tcW w:w="638" w:type="pct"/>
            <w:tcBorders>
              <w:top w:val="nil"/>
              <w:left w:val="single" w:sz="12" w:space="0" w:color="auto"/>
              <w:bottom w:val="single" w:sz="4" w:space="0" w:color="auto"/>
              <w:right w:val="single" w:sz="4" w:space="0" w:color="auto"/>
            </w:tcBorders>
            <w:shd w:val="clear" w:color="auto" w:fill="auto"/>
            <w:noWrap/>
            <w:vAlign w:val="center"/>
            <w:hideMark/>
          </w:tcPr>
          <w:p w14:paraId="058A3C45" w14:textId="77777777" w:rsidR="00AA3A5F" w:rsidRPr="00B25A22" w:rsidRDefault="00AA3A5F" w:rsidP="007A68D5">
            <w:pPr>
              <w:jc w:val="left"/>
              <w:rPr>
                <w:rFonts w:cs="Times New Roman"/>
                <w:b/>
                <w:lang w:val="cs-CZ"/>
              </w:rPr>
            </w:pPr>
            <w:r w:rsidRPr="00B25A22">
              <w:rPr>
                <w:rFonts w:cs="Times New Roman"/>
                <w:b/>
                <w:sz w:val="22"/>
                <w:lang w:val="cs-CZ"/>
              </w:rPr>
              <w:t>hovězí a tel. maso</w:t>
            </w:r>
          </w:p>
        </w:tc>
        <w:tc>
          <w:tcPr>
            <w:tcW w:w="346" w:type="pct"/>
            <w:tcBorders>
              <w:top w:val="nil"/>
              <w:left w:val="nil"/>
              <w:bottom w:val="single" w:sz="4" w:space="0" w:color="auto"/>
              <w:right w:val="single" w:sz="4" w:space="0" w:color="auto"/>
            </w:tcBorders>
            <w:shd w:val="clear" w:color="auto" w:fill="auto"/>
            <w:noWrap/>
            <w:vAlign w:val="center"/>
            <w:hideMark/>
          </w:tcPr>
          <w:p w14:paraId="2336CF80" w14:textId="77777777" w:rsidR="00AA3A5F" w:rsidRPr="00B25A22" w:rsidRDefault="00AA3A5F" w:rsidP="007A68D5">
            <w:pPr>
              <w:jc w:val="center"/>
              <w:rPr>
                <w:rFonts w:cs="Times New Roman"/>
                <w:lang w:val="cs-CZ"/>
              </w:rPr>
            </w:pPr>
            <w:r w:rsidRPr="00B25A22">
              <w:rPr>
                <w:rFonts w:cs="Times New Roman"/>
                <w:sz w:val="22"/>
                <w:lang w:val="cs-CZ"/>
              </w:rPr>
              <w:t>6 680</w:t>
            </w:r>
          </w:p>
        </w:tc>
        <w:tc>
          <w:tcPr>
            <w:tcW w:w="346" w:type="pct"/>
            <w:tcBorders>
              <w:top w:val="nil"/>
              <w:left w:val="nil"/>
              <w:bottom w:val="single" w:sz="4" w:space="0" w:color="auto"/>
              <w:right w:val="single" w:sz="4" w:space="0" w:color="auto"/>
            </w:tcBorders>
            <w:shd w:val="clear" w:color="auto" w:fill="auto"/>
            <w:noWrap/>
            <w:vAlign w:val="center"/>
            <w:hideMark/>
          </w:tcPr>
          <w:p w14:paraId="08C33054" w14:textId="77777777" w:rsidR="00AA3A5F" w:rsidRPr="00B25A22" w:rsidRDefault="00AA3A5F" w:rsidP="007A68D5">
            <w:pPr>
              <w:jc w:val="center"/>
              <w:rPr>
                <w:rFonts w:cs="Times New Roman"/>
                <w:lang w:val="cs-CZ"/>
              </w:rPr>
            </w:pPr>
            <w:r w:rsidRPr="00B25A22">
              <w:rPr>
                <w:rFonts w:cs="Times New Roman"/>
                <w:sz w:val="22"/>
                <w:lang w:val="cs-CZ"/>
              </w:rPr>
              <w:t>7 264</w:t>
            </w:r>
          </w:p>
        </w:tc>
        <w:tc>
          <w:tcPr>
            <w:tcW w:w="346" w:type="pct"/>
            <w:tcBorders>
              <w:top w:val="nil"/>
              <w:left w:val="nil"/>
              <w:bottom w:val="single" w:sz="4" w:space="0" w:color="auto"/>
              <w:right w:val="single" w:sz="4" w:space="0" w:color="auto"/>
            </w:tcBorders>
            <w:shd w:val="clear" w:color="auto" w:fill="auto"/>
            <w:noWrap/>
            <w:vAlign w:val="center"/>
            <w:hideMark/>
          </w:tcPr>
          <w:p w14:paraId="4321BD4A" w14:textId="77777777" w:rsidR="00AA3A5F" w:rsidRPr="00B25A22" w:rsidRDefault="00AA3A5F" w:rsidP="007A68D5">
            <w:pPr>
              <w:jc w:val="center"/>
              <w:rPr>
                <w:rFonts w:cs="Times New Roman"/>
                <w:lang w:val="cs-CZ"/>
              </w:rPr>
            </w:pPr>
            <w:r w:rsidRPr="00B25A22">
              <w:rPr>
                <w:rFonts w:cs="Times New Roman"/>
                <w:sz w:val="22"/>
                <w:lang w:val="cs-CZ"/>
              </w:rPr>
              <w:t>7 272</w:t>
            </w:r>
          </w:p>
        </w:tc>
        <w:tc>
          <w:tcPr>
            <w:tcW w:w="347" w:type="pct"/>
            <w:tcBorders>
              <w:top w:val="nil"/>
              <w:left w:val="nil"/>
              <w:bottom w:val="single" w:sz="4" w:space="0" w:color="auto"/>
              <w:right w:val="single" w:sz="4" w:space="0" w:color="auto"/>
            </w:tcBorders>
            <w:shd w:val="clear" w:color="auto" w:fill="auto"/>
            <w:noWrap/>
            <w:vAlign w:val="center"/>
            <w:hideMark/>
          </w:tcPr>
          <w:p w14:paraId="00679142"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7 072</w:t>
            </w:r>
          </w:p>
        </w:tc>
        <w:tc>
          <w:tcPr>
            <w:tcW w:w="965" w:type="pct"/>
            <w:tcBorders>
              <w:top w:val="nil"/>
              <w:left w:val="nil"/>
              <w:bottom w:val="single" w:sz="4" w:space="0" w:color="auto"/>
              <w:right w:val="single" w:sz="4" w:space="0" w:color="auto"/>
            </w:tcBorders>
            <w:shd w:val="clear" w:color="auto" w:fill="auto"/>
            <w:noWrap/>
            <w:vAlign w:val="center"/>
            <w:hideMark/>
          </w:tcPr>
          <w:p w14:paraId="203C4E7F" w14:textId="77777777" w:rsidR="00AA3A5F" w:rsidRPr="00B25A22" w:rsidRDefault="00AA3A5F" w:rsidP="007A68D5">
            <w:pPr>
              <w:jc w:val="center"/>
              <w:rPr>
                <w:rFonts w:cs="Times New Roman"/>
                <w:lang w:val="cs-CZ"/>
              </w:rPr>
            </w:pPr>
            <w:proofErr w:type="spellStart"/>
            <w:r w:rsidRPr="00B25A22">
              <w:rPr>
                <w:rFonts w:cs="Times New Roman"/>
                <w:sz w:val="22"/>
                <w:lang w:val="cs-CZ"/>
              </w:rPr>
              <w:t>Viamilk</w:t>
            </w:r>
            <w:proofErr w:type="spellEnd"/>
            <w:r w:rsidRPr="00B25A22">
              <w:rPr>
                <w:rFonts w:cs="Times New Roman"/>
                <w:sz w:val="22"/>
                <w:lang w:val="cs-CZ"/>
              </w:rPr>
              <w:t xml:space="preserve"> </w:t>
            </w:r>
            <w:proofErr w:type="spellStart"/>
            <w:r w:rsidRPr="00B25A22">
              <w:rPr>
                <w:rFonts w:cs="Times New Roman"/>
                <w:sz w:val="22"/>
                <w:lang w:val="cs-CZ"/>
              </w:rPr>
              <w:t>c.z</w:t>
            </w:r>
            <w:proofErr w:type="spellEnd"/>
            <w:r w:rsidRPr="00B25A22">
              <w:rPr>
                <w:rFonts w:cs="Times New Roman"/>
                <w:sz w:val="22"/>
                <w:lang w:val="cs-CZ"/>
              </w:rPr>
              <w:t>. (1)</w:t>
            </w:r>
          </w:p>
        </w:tc>
        <w:tc>
          <w:tcPr>
            <w:tcW w:w="482" w:type="pct"/>
            <w:tcBorders>
              <w:top w:val="nil"/>
              <w:left w:val="nil"/>
              <w:bottom w:val="single" w:sz="4" w:space="0" w:color="auto"/>
              <w:right w:val="single" w:sz="4" w:space="0" w:color="auto"/>
            </w:tcBorders>
            <w:shd w:val="clear" w:color="auto" w:fill="auto"/>
            <w:noWrap/>
            <w:vAlign w:val="center"/>
            <w:hideMark/>
          </w:tcPr>
          <w:p w14:paraId="449C167C" w14:textId="77777777" w:rsidR="00AA3A5F" w:rsidRPr="00B25A22" w:rsidRDefault="00AA3A5F" w:rsidP="007A68D5">
            <w:pPr>
              <w:jc w:val="center"/>
              <w:rPr>
                <w:rFonts w:cs="Times New Roman"/>
                <w:bCs/>
                <w:lang w:val="cs-CZ"/>
              </w:rPr>
            </w:pPr>
            <w:r w:rsidRPr="00B25A22">
              <w:rPr>
                <w:rFonts w:cs="Times New Roman"/>
                <w:bCs/>
                <w:sz w:val="22"/>
                <w:lang w:val="cs-CZ"/>
              </w:rPr>
              <w:t>50</w:t>
            </w:r>
          </w:p>
        </w:tc>
        <w:tc>
          <w:tcPr>
            <w:tcW w:w="482" w:type="pct"/>
            <w:tcBorders>
              <w:top w:val="nil"/>
              <w:left w:val="nil"/>
              <w:bottom w:val="single" w:sz="4" w:space="0" w:color="auto"/>
              <w:right w:val="single" w:sz="4" w:space="0" w:color="auto"/>
            </w:tcBorders>
            <w:shd w:val="clear" w:color="auto" w:fill="auto"/>
            <w:noWrap/>
            <w:vAlign w:val="center"/>
            <w:hideMark/>
          </w:tcPr>
          <w:p w14:paraId="33176BB0" w14:textId="77777777" w:rsidR="00AA3A5F" w:rsidRPr="00B25A22" w:rsidRDefault="00AA3A5F" w:rsidP="007A68D5">
            <w:pPr>
              <w:jc w:val="center"/>
              <w:rPr>
                <w:rFonts w:cs="Times New Roman"/>
                <w:lang w:val="cs-CZ"/>
              </w:rPr>
            </w:pPr>
            <w:r w:rsidRPr="00B25A22">
              <w:rPr>
                <w:rFonts w:cs="Times New Roman"/>
                <w:sz w:val="22"/>
                <w:lang w:val="cs-CZ"/>
              </w:rPr>
              <w:t>2018</w:t>
            </w:r>
          </w:p>
        </w:tc>
        <w:tc>
          <w:tcPr>
            <w:tcW w:w="1048" w:type="pct"/>
            <w:tcBorders>
              <w:top w:val="nil"/>
              <w:left w:val="nil"/>
              <w:bottom w:val="single" w:sz="4" w:space="0" w:color="auto"/>
              <w:right w:val="single" w:sz="12" w:space="0" w:color="auto"/>
            </w:tcBorders>
            <w:shd w:val="clear" w:color="auto" w:fill="F2F2F2" w:themeFill="background1" w:themeFillShade="F2"/>
            <w:noWrap/>
            <w:vAlign w:val="center"/>
            <w:hideMark/>
          </w:tcPr>
          <w:p w14:paraId="248B1435" w14:textId="77777777" w:rsidR="00AA3A5F" w:rsidRPr="00B25A22" w:rsidRDefault="00AA3A5F" w:rsidP="007A68D5">
            <w:pPr>
              <w:jc w:val="center"/>
              <w:rPr>
                <w:rFonts w:cs="Times New Roman"/>
                <w:bCs/>
                <w:lang w:val="cs-CZ"/>
              </w:rPr>
            </w:pPr>
            <w:r w:rsidRPr="00B25A22">
              <w:rPr>
                <w:rFonts w:cs="Times New Roman"/>
                <w:bCs/>
                <w:sz w:val="22"/>
                <w:lang w:val="cs-CZ"/>
              </w:rPr>
              <w:t>0,7</w:t>
            </w:r>
          </w:p>
        </w:tc>
      </w:tr>
      <w:tr w:rsidR="00AA3A5F" w:rsidRPr="00B25A22" w14:paraId="1B793730" w14:textId="77777777" w:rsidTr="007A68D5">
        <w:trPr>
          <w:trHeight w:val="536"/>
        </w:trPr>
        <w:tc>
          <w:tcPr>
            <w:tcW w:w="638" w:type="pct"/>
            <w:tcBorders>
              <w:top w:val="nil"/>
              <w:left w:val="single" w:sz="12" w:space="0" w:color="auto"/>
              <w:bottom w:val="single" w:sz="4" w:space="0" w:color="auto"/>
              <w:right w:val="single" w:sz="4" w:space="0" w:color="auto"/>
            </w:tcBorders>
            <w:shd w:val="clear" w:color="auto" w:fill="auto"/>
            <w:noWrap/>
            <w:vAlign w:val="center"/>
            <w:hideMark/>
          </w:tcPr>
          <w:p w14:paraId="5107B0CA" w14:textId="77777777" w:rsidR="00AA3A5F" w:rsidRPr="00B25A22" w:rsidRDefault="00AA3A5F" w:rsidP="007A68D5">
            <w:pPr>
              <w:jc w:val="left"/>
              <w:rPr>
                <w:rFonts w:cs="Times New Roman"/>
                <w:b/>
                <w:lang w:val="cs-CZ"/>
              </w:rPr>
            </w:pPr>
            <w:r w:rsidRPr="00B25A22">
              <w:rPr>
                <w:rFonts w:cs="Times New Roman"/>
                <w:b/>
                <w:sz w:val="22"/>
                <w:lang w:val="cs-CZ"/>
              </w:rPr>
              <w:t>drůbež</w:t>
            </w:r>
          </w:p>
        </w:tc>
        <w:tc>
          <w:tcPr>
            <w:tcW w:w="346" w:type="pct"/>
            <w:tcBorders>
              <w:top w:val="nil"/>
              <w:left w:val="nil"/>
              <w:bottom w:val="single" w:sz="4" w:space="0" w:color="auto"/>
              <w:right w:val="single" w:sz="4" w:space="0" w:color="auto"/>
            </w:tcBorders>
            <w:shd w:val="clear" w:color="auto" w:fill="auto"/>
            <w:noWrap/>
            <w:vAlign w:val="center"/>
            <w:hideMark/>
          </w:tcPr>
          <w:p w14:paraId="2F16131F" w14:textId="77777777" w:rsidR="00AA3A5F" w:rsidRPr="00B25A22" w:rsidRDefault="00AA3A5F" w:rsidP="007A68D5">
            <w:pPr>
              <w:jc w:val="center"/>
              <w:rPr>
                <w:rFonts w:cs="Times New Roman"/>
                <w:lang w:val="cs-CZ"/>
              </w:rPr>
            </w:pPr>
            <w:r w:rsidRPr="00B25A22">
              <w:rPr>
                <w:rFonts w:cs="Times New Roman"/>
                <w:sz w:val="22"/>
                <w:lang w:val="cs-CZ"/>
              </w:rPr>
              <w:t>6 240</w:t>
            </w:r>
          </w:p>
        </w:tc>
        <w:tc>
          <w:tcPr>
            <w:tcW w:w="346" w:type="pct"/>
            <w:tcBorders>
              <w:top w:val="nil"/>
              <w:left w:val="nil"/>
              <w:bottom w:val="single" w:sz="4" w:space="0" w:color="auto"/>
              <w:right w:val="single" w:sz="4" w:space="0" w:color="auto"/>
            </w:tcBorders>
            <w:shd w:val="clear" w:color="auto" w:fill="auto"/>
            <w:noWrap/>
            <w:vAlign w:val="center"/>
            <w:hideMark/>
          </w:tcPr>
          <w:p w14:paraId="7CE848A7" w14:textId="77777777" w:rsidR="00AA3A5F" w:rsidRPr="00B25A22" w:rsidRDefault="00AA3A5F" w:rsidP="007A68D5">
            <w:pPr>
              <w:jc w:val="center"/>
              <w:rPr>
                <w:rFonts w:cs="Times New Roman"/>
                <w:lang w:val="cs-CZ"/>
              </w:rPr>
            </w:pPr>
            <w:r w:rsidRPr="00B25A22">
              <w:rPr>
                <w:rFonts w:cs="Times New Roman"/>
                <w:sz w:val="22"/>
                <w:lang w:val="cs-CZ"/>
              </w:rPr>
              <w:t>5 756</w:t>
            </w:r>
          </w:p>
        </w:tc>
        <w:tc>
          <w:tcPr>
            <w:tcW w:w="346" w:type="pct"/>
            <w:tcBorders>
              <w:top w:val="nil"/>
              <w:left w:val="nil"/>
              <w:bottom w:val="single" w:sz="4" w:space="0" w:color="auto"/>
              <w:right w:val="single" w:sz="4" w:space="0" w:color="auto"/>
            </w:tcBorders>
            <w:shd w:val="clear" w:color="auto" w:fill="auto"/>
            <w:noWrap/>
            <w:vAlign w:val="center"/>
            <w:hideMark/>
          </w:tcPr>
          <w:p w14:paraId="763817F0" w14:textId="77777777" w:rsidR="00AA3A5F" w:rsidRPr="00B25A22" w:rsidRDefault="00AA3A5F" w:rsidP="007A68D5">
            <w:pPr>
              <w:jc w:val="center"/>
              <w:rPr>
                <w:rFonts w:cs="Times New Roman"/>
                <w:lang w:val="cs-CZ"/>
              </w:rPr>
            </w:pPr>
            <w:r w:rsidRPr="00B25A22">
              <w:rPr>
                <w:rFonts w:cs="Times New Roman"/>
                <w:sz w:val="22"/>
                <w:lang w:val="cs-CZ"/>
              </w:rPr>
              <w:t>5 963</w:t>
            </w:r>
          </w:p>
        </w:tc>
        <w:tc>
          <w:tcPr>
            <w:tcW w:w="347" w:type="pct"/>
            <w:tcBorders>
              <w:top w:val="nil"/>
              <w:left w:val="nil"/>
              <w:bottom w:val="single" w:sz="4" w:space="0" w:color="auto"/>
              <w:right w:val="single" w:sz="4" w:space="0" w:color="auto"/>
            </w:tcBorders>
            <w:shd w:val="clear" w:color="auto" w:fill="auto"/>
            <w:noWrap/>
            <w:vAlign w:val="center"/>
            <w:hideMark/>
          </w:tcPr>
          <w:p w14:paraId="60FB5A55" w14:textId="77777777" w:rsidR="00AA3A5F" w:rsidRPr="00B25A22" w:rsidRDefault="00AA3A5F" w:rsidP="007A68D5">
            <w:pPr>
              <w:jc w:val="center"/>
              <w:rPr>
                <w:rFonts w:cs="Times New Roman"/>
                <w:lang w:val="cs-CZ"/>
              </w:rPr>
            </w:pPr>
            <w:r w:rsidRPr="00B25A22">
              <w:rPr>
                <w:rFonts w:cs="Times New Roman"/>
                <w:sz w:val="22"/>
                <w:lang w:val="cs-CZ"/>
              </w:rPr>
              <w:t>5 986</w:t>
            </w:r>
          </w:p>
        </w:tc>
        <w:tc>
          <w:tcPr>
            <w:tcW w:w="965" w:type="pct"/>
            <w:tcBorders>
              <w:top w:val="nil"/>
              <w:left w:val="nil"/>
              <w:bottom w:val="single" w:sz="4" w:space="0" w:color="auto"/>
              <w:right w:val="single" w:sz="4" w:space="0" w:color="auto"/>
            </w:tcBorders>
            <w:shd w:val="clear" w:color="auto" w:fill="auto"/>
            <w:noWrap/>
            <w:vAlign w:val="center"/>
            <w:hideMark/>
          </w:tcPr>
          <w:p w14:paraId="25C54A5E" w14:textId="77777777" w:rsidR="00AA3A5F" w:rsidRPr="00B25A22" w:rsidRDefault="00AA3A5F" w:rsidP="007A68D5">
            <w:pPr>
              <w:jc w:val="center"/>
              <w:rPr>
                <w:rFonts w:cs="Times New Roman"/>
                <w:lang w:val="cs-CZ"/>
              </w:rPr>
            </w:pPr>
            <w:r w:rsidRPr="00B25A22">
              <w:rPr>
                <w:rFonts w:cs="Times New Roman"/>
                <w:sz w:val="22"/>
                <w:lang w:val="cs-CZ"/>
              </w:rPr>
              <w:t>0</w:t>
            </w:r>
          </w:p>
        </w:tc>
        <w:tc>
          <w:tcPr>
            <w:tcW w:w="482" w:type="pct"/>
            <w:tcBorders>
              <w:top w:val="nil"/>
              <w:left w:val="nil"/>
              <w:bottom w:val="single" w:sz="4" w:space="0" w:color="auto"/>
              <w:right w:val="single" w:sz="4" w:space="0" w:color="auto"/>
            </w:tcBorders>
            <w:shd w:val="clear" w:color="auto" w:fill="auto"/>
            <w:noWrap/>
            <w:vAlign w:val="center"/>
            <w:hideMark/>
          </w:tcPr>
          <w:p w14:paraId="1CC2C9AC" w14:textId="77777777" w:rsidR="00AA3A5F" w:rsidRPr="00B25A22" w:rsidRDefault="00AA3A5F" w:rsidP="007A68D5">
            <w:pPr>
              <w:jc w:val="center"/>
              <w:rPr>
                <w:rFonts w:cs="Times New Roman"/>
                <w:b/>
                <w:bCs/>
                <w:lang w:val="cs-CZ"/>
              </w:rPr>
            </w:pPr>
            <w:r w:rsidRPr="00B25A22">
              <w:rPr>
                <w:rFonts w:cs="Times New Roman"/>
                <w:b/>
                <w:bCs/>
                <w:sz w:val="22"/>
                <w:lang w:val="cs-CZ"/>
              </w:rPr>
              <w:t>0</w:t>
            </w:r>
          </w:p>
        </w:tc>
        <w:tc>
          <w:tcPr>
            <w:tcW w:w="482" w:type="pct"/>
            <w:tcBorders>
              <w:top w:val="nil"/>
              <w:left w:val="nil"/>
              <w:bottom w:val="single" w:sz="4" w:space="0" w:color="auto"/>
              <w:right w:val="single" w:sz="4" w:space="0" w:color="auto"/>
            </w:tcBorders>
            <w:shd w:val="clear" w:color="auto" w:fill="auto"/>
            <w:noWrap/>
            <w:vAlign w:val="center"/>
            <w:hideMark/>
          </w:tcPr>
          <w:p w14:paraId="77BF96EF" w14:textId="77777777" w:rsidR="00AA3A5F" w:rsidRPr="00B25A22" w:rsidRDefault="00AA3A5F" w:rsidP="007A68D5">
            <w:pPr>
              <w:jc w:val="center"/>
              <w:rPr>
                <w:rFonts w:cs="Times New Roman"/>
                <w:lang w:val="cs-CZ"/>
              </w:rPr>
            </w:pPr>
            <w:r w:rsidRPr="00B25A22">
              <w:rPr>
                <w:rFonts w:cs="Times New Roman"/>
                <w:sz w:val="22"/>
                <w:lang w:val="cs-CZ"/>
              </w:rPr>
              <w:t>x</w:t>
            </w:r>
          </w:p>
        </w:tc>
        <w:tc>
          <w:tcPr>
            <w:tcW w:w="1048" w:type="pct"/>
            <w:tcBorders>
              <w:top w:val="nil"/>
              <w:left w:val="nil"/>
              <w:bottom w:val="single" w:sz="4" w:space="0" w:color="auto"/>
              <w:right w:val="single" w:sz="12" w:space="0" w:color="auto"/>
            </w:tcBorders>
            <w:shd w:val="clear" w:color="auto" w:fill="F2F2F2" w:themeFill="background1" w:themeFillShade="F2"/>
            <w:noWrap/>
            <w:vAlign w:val="center"/>
            <w:hideMark/>
          </w:tcPr>
          <w:p w14:paraId="0C0E4BA9" w14:textId="77777777" w:rsidR="00AA3A5F" w:rsidRPr="00B25A22" w:rsidRDefault="00AA3A5F" w:rsidP="007A68D5">
            <w:pPr>
              <w:jc w:val="center"/>
              <w:rPr>
                <w:rFonts w:cs="Times New Roman"/>
                <w:bCs/>
                <w:lang w:val="cs-CZ"/>
              </w:rPr>
            </w:pPr>
            <w:r w:rsidRPr="00B25A22">
              <w:rPr>
                <w:rFonts w:cs="Times New Roman"/>
                <w:bCs/>
                <w:sz w:val="22"/>
                <w:lang w:val="cs-CZ"/>
              </w:rPr>
              <w:t>0,0</w:t>
            </w:r>
          </w:p>
        </w:tc>
      </w:tr>
      <w:tr w:rsidR="00AA3A5F" w:rsidRPr="00B25A22" w14:paraId="20CB7B1A" w14:textId="77777777" w:rsidTr="007A68D5">
        <w:trPr>
          <w:trHeight w:val="536"/>
        </w:trPr>
        <w:tc>
          <w:tcPr>
            <w:tcW w:w="638" w:type="pct"/>
            <w:tcBorders>
              <w:top w:val="nil"/>
              <w:left w:val="single" w:sz="12" w:space="0" w:color="auto"/>
              <w:bottom w:val="single" w:sz="4" w:space="0" w:color="auto"/>
              <w:right w:val="single" w:sz="4" w:space="0" w:color="auto"/>
            </w:tcBorders>
            <w:shd w:val="clear" w:color="auto" w:fill="auto"/>
            <w:noWrap/>
            <w:vAlign w:val="center"/>
            <w:hideMark/>
          </w:tcPr>
          <w:p w14:paraId="1446E709" w14:textId="77777777" w:rsidR="00AA3A5F" w:rsidRPr="00B25A22" w:rsidRDefault="00AA3A5F" w:rsidP="007A68D5">
            <w:pPr>
              <w:jc w:val="left"/>
              <w:rPr>
                <w:rFonts w:cs="Times New Roman"/>
                <w:b/>
                <w:iCs/>
                <w:lang w:val="cs-CZ"/>
              </w:rPr>
            </w:pPr>
            <w:r w:rsidRPr="00B25A22">
              <w:rPr>
                <w:rFonts w:cs="Times New Roman"/>
                <w:b/>
                <w:iCs/>
                <w:sz w:val="22"/>
                <w:lang w:val="cs-CZ"/>
              </w:rPr>
              <w:t>vejce</w:t>
            </w:r>
          </w:p>
        </w:tc>
        <w:tc>
          <w:tcPr>
            <w:tcW w:w="346" w:type="pct"/>
            <w:tcBorders>
              <w:top w:val="nil"/>
              <w:left w:val="nil"/>
              <w:bottom w:val="single" w:sz="4" w:space="0" w:color="auto"/>
              <w:right w:val="single" w:sz="4" w:space="0" w:color="auto"/>
            </w:tcBorders>
            <w:shd w:val="clear" w:color="auto" w:fill="auto"/>
            <w:noWrap/>
            <w:vAlign w:val="center"/>
            <w:hideMark/>
          </w:tcPr>
          <w:p w14:paraId="7F19F964" w14:textId="77777777" w:rsidR="00AA3A5F" w:rsidRPr="00B25A22" w:rsidRDefault="00AA3A5F" w:rsidP="007A68D5">
            <w:pPr>
              <w:jc w:val="center"/>
              <w:rPr>
                <w:rFonts w:cs="Times New Roman"/>
                <w:lang w:val="cs-CZ"/>
              </w:rPr>
            </w:pPr>
            <w:r w:rsidRPr="00B25A22">
              <w:rPr>
                <w:rFonts w:cs="Times New Roman"/>
                <w:sz w:val="22"/>
                <w:lang w:val="cs-CZ"/>
              </w:rPr>
              <w:t>2 315</w:t>
            </w:r>
          </w:p>
        </w:tc>
        <w:tc>
          <w:tcPr>
            <w:tcW w:w="346" w:type="pct"/>
            <w:tcBorders>
              <w:top w:val="nil"/>
              <w:left w:val="nil"/>
              <w:bottom w:val="single" w:sz="4" w:space="0" w:color="auto"/>
              <w:right w:val="single" w:sz="4" w:space="0" w:color="auto"/>
            </w:tcBorders>
            <w:shd w:val="clear" w:color="auto" w:fill="auto"/>
            <w:noWrap/>
            <w:vAlign w:val="center"/>
            <w:hideMark/>
          </w:tcPr>
          <w:p w14:paraId="22816937" w14:textId="77777777" w:rsidR="00AA3A5F" w:rsidRPr="00B25A22" w:rsidRDefault="00AA3A5F" w:rsidP="007A68D5">
            <w:pPr>
              <w:jc w:val="center"/>
              <w:rPr>
                <w:rFonts w:cs="Times New Roman"/>
                <w:lang w:val="cs-CZ"/>
              </w:rPr>
            </w:pPr>
            <w:r w:rsidRPr="00B25A22">
              <w:rPr>
                <w:rFonts w:cs="Times New Roman"/>
                <w:sz w:val="22"/>
                <w:lang w:val="cs-CZ"/>
              </w:rPr>
              <w:t>2 164</w:t>
            </w:r>
          </w:p>
        </w:tc>
        <w:tc>
          <w:tcPr>
            <w:tcW w:w="346" w:type="pct"/>
            <w:tcBorders>
              <w:top w:val="nil"/>
              <w:left w:val="nil"/>
              <w:bottom w:val="single" w:sz="4" w:space="0" w:color="auto"/>
              <w:right w:val="single" w:sz="4" w:space="0" w:color="auto"/>
            </w:tcBorders>
            <w:shd w:val="clear" w:color="auto" w:fill="auto"/>
            <w:noWrap/>
            <w:vAlign w:val="center"/>
            <w:hideMark/>
          </w:tcPr>
          <w:p w14:paraId="59AE2E6F" w14:textId="77777777" w:rsidR="00AA3A5F" w:rsidRPr="00B25A22" w:rsidRDefault="00AA3A5F" w:rsidP="007A68D5">
            <w:pPr>
              <w:jc w:val="center"/>
              <w:rPr>
                <w:rFonts w:cs="Times New Roman"/>
                <w:lang w:val="cs-CZ"/>
              </w:rPr>
            </w:pPr>
            <w:r w:rsidRPr="00B25A22">
              <w:rPr>
                <w:rFonts w:cs="Times New Roman"/>
                <w:sz w:val="22"/>
                <w:lang w:val="cs-CZ"/>
              </w:rPr>
              <w:t>2 980</w:t>
            </w:r>
          </w:p>
        </w:tc>
        <w:tc>
          <w:tcPr>
            <w:tcW w:w="347" w:type="pct"/>
            <w:tcBorders>
              <w:top w:val="nil"/>
              <w:left w:val="nil"/>
              <w:bottom w:val="single" w:sz="4" w:space="0" w:color="auto"/>
              <w:right w:val="single" w:sz="4" w:space="0" w:color="auto"/>
            </w:tcBorders>
            <w:shd w:val="clear" w:color="auto" w:fill="auto"/>
            <w:noWrap/>
            <w:vAlign w:val="center"/>
            <w:hideMark/>
          </w:tcPr>
          <w:p w14:paraId="0A382ECC" w14:textId="77777777" w:rsidR="00AA3A5F" w:rsidRPr="00B25A22" w:rsidRDefault="00AA3A5F" w:rsidP="007A68D5">
            <w:pPr>
              <w:jc w:val="center"/>
              <w:rPr>
                <w:rFonts w:cs="Times New Roman"/>
                <w:lang w:val="cs-CZ"/>
              </w:rPr>
            </w:pPr>
            <w:r w:rsidRPr="00B25A22">
              <w:rPr>
                <w:rFonts w:cs="Times New Roman"/>
                <w:sz w:val="22"/>
                <w:lang w:val="cs-CZ"/>
              </w:rPr>
              <w:t>2 486</w:t>
            </w:r>
          </w:p>
        </w:tc>
        <w:tc>
          <w:tcPr>
            <w:tcW w:w="965" w:type="pct"/>
            <w:tcBorders>
              <w:top w:val="nil"/>
              <w:left w:val="nil"/>
              <w:bottom w:val="single" w:sz="4" w:space="0" w:color="auto"/>
              <w:right w:val="single" w:sz="4" w:space="0" w:color="auto"/>
            </w:tcBorders>
            <w:shd w:val="clear" w:color="auto" w:fill="auto"/>
            <w:noWrap/>
            <w:vAlign w:val="center"/>
            <w:hideMark/>
          </w:tcPr>
          <w:p w14:paraId="2867ECC0" w14:textId="77777777" w:rsidR="00AA3A5F" w:rsidRPr="00B25A22" w:rsidRDefault="00AA3A5F" w:rsidP="007A68D5">
            <w:pPr>
              <w:jc w:val="center"/>
              <w:rPr>
                <w:rFonts w:cs="Times New Roman"/>
                <w:lang w:val="cs-CZ"/>
              </w:rPr>
            </w:pPr>
            <w:r w:rsidRPr="00B25A22">
              <w:rPr>
                <w:rFonts w:cs="Times New Roman"/>
                <w:sz w:val="22"/>
                <w:lang w:val="cs-CZ"/>
              </w:rPr>
              <w:t>Zlatá vejce (1)</w:t>
            </w:r>
          </w:p>
        </w:tc>
        <w:tc>
          <w:tcPr>
            <w:tcW w:w="482" w:type="pct"/>
            <w:tcBorders>
              <w:top w:val="nil"/>
              <w:left w:val="nil"/>
              <w:bottom w:val="single" w:sz="4" w:space="0" w:color="auto"/>
              <w:right w:val="single" w:sz="4" w:space="0" w:color="auto"/>
            </w:tcBorders>
            <w:shd w:val="clear" w:color="auto" w:fill="auto"/>
            <w:noWrap/>
            <w:vAlign w:val="center"/>
            <w:hideMark/>
          </w:tcPr>
          <w:p w14:paraId="35F254C6" w14:textId="77777777" w:rsidR="00AA3A5F" w:rsidRPr="00B25A22" w:rsidRDefault="00AA3A5F" w:rsidP="007A68D5">
            <w:pPr>
              <w:jc w:val="center"/>
              <w:rPr>
                <w:rFonts w:cs="Times New Roman"/>
                <w:lang w:val="cs-CZ"/>
              </w:rPr>
            </w:pPr>
            <w:r w:rsidRPr="00B25A22">
              <w:rPr>
                <w:rFonts w:cs="Times New Roman"/>
                <w:sz w:val="22"/>
                <w:lang w:val="cs-CZ"/>
              </w:rPr>
              <w:t>562</w:t>
            </w:r>
          </w:p>
        </w:tc>
        <w:tc>
          <w:tcPr>
            <w:tcW w:w="482" w:type="pct"/>
            <w:tcBorders>
              <w:top w:val="nil"/>
              <w:left w:val="nil"/>
              <w:bottom w:val="single" w:sz="4" w:space="0" w:color="auto"/>
              <w:right w:val="single" w:sz="4" w:space="0" w:color="auto"/>
            </w:tcBorders>
            <w:shd w:val="clear" w:color="auto" w:fill="auto"/>
            <w:noWrap/>
            <w:vAlign w:val="center"/>
            <w:hideMark/>
          </w:tcPr>
          <w:p w14:paraId="2CAAED4C" w14:textId="77777777" w:rsidR="00AA3A5F" w:rsidRPr="00B25A22" w:rsidRDefault="00AA3A5F" w:rsidP="007A68D5">
            <w:pPr>
              <w:jc w:val="center"/>
              <w:rPr>
                <w:rFonts w:cs="Times New Roman"/>
                <w:lang w:val="cs-CZ"/>
              </w:rPr>
            </w:pPr>
            <w:r w:rsidRPr="00B25A22">
              <w:rPr>
                <w:rFonts w:cs="Times New Roman"/>
                <w:sz w:val="22"/>
                <w:lang w:val="cs-CZ"/>
              </w:rPr>
              <w:t>2018</w:t>
            </w:r>
          </w:p>
        </w:tc>
        <w:tc>
          <w:tcPr>
            <w:tcW w:w="1048" w:type="pct"/>
            <w:tcBorders>
              <w:top w:val="nil"/>
              <w:left w:val="nil"/>
              <w:bottom w:val="single" w:sz="4" w:space="0" w:color="auto"/>
              <w:right w:val="single" w:sz="12" w:space="0" w:color="auto"/>
            </w:tcBorders>
            <w:shd w:val="clear" w:color="auto" w:fill="F2F2F2" w:themeFill="background1" w:themeFillShade="F2"/>
            <w:noWrap/>
            <w:vAlign w:val="center"/>
            <w:hideMark/>
          </w:tcPr>
          <w:p w14:paraId="345E4D62" w14:textId="77777777" w:rsidR="00AA3A5F" w:rsidRPr="00B25A22" w:rsidRDefault="00AA3A5F" w:rsidP="007A68D5">
            <w:pPr>
              <w:jc w:val="center"/>
              <w:rPr>
                <w:rFonts w:cs="Times New Roman"/>
                <w:bCs/>
                <w:lang w:val="cs-CZ"/>
              </w:rPr>
            </w:pPr>
            <w:r w:rsidRPr="00B25A22">
              <w:rPr>
                <w:rFonts w:cs="Times New Roman"/>
                <w:bCs/>
                <w:sz w:val="22"/>
                <w:lang w:val="cs-CZ"/>
              </w:rPr>
              <w:t>22,6</w:t>
            </w:r>
          </w:p>
        </w:tc>
      </w:tr>
      <w:tr w:rsidR="00AA3A5F" w:rsidRPr="00B25A22" w14:paraId="11ECAF50" w14:textId="77777777" w:rsidTr="007A68D5">
        <w:trPr>
          <w:trHeight w:val="536"/>
        </w:trPr>
        <w:tc>
          <w:tcPr>
            <w:tcW w:w="638" w:type="pct"/>
            <w:tcBorders>
              <w:top w:val="nil"/>
              <w:left w:val="single" w:sz="12" w:space="0" w:color="auto"/>
              <w:bottom w:val="single" w:sz="4" w:space="0" w:color="auto"/>
              <w:right w:val="single" w:sz="4" w:space="0" w:color="auto"/>
            </w:tcBorders>
            <w:shd w:val="clear" w:color="auto" w:fill="auto"/>
            <w:noWrap/>
            <w:vAlign w:val="center"/>
            <w:hideMark/>
          </w:tcPr>
          <w:p w14:paraId="393E4766" w14:textId="77777777" w:rsidR="00AA3A5F" w:rsidRPr="00B25A22" w:rsidRDefault="00AA3A5F" w:rsidP="007A68D5">
            <w:pPr>
              <w:jc w:val="left"/>
              <w:rPr>
                <w:rFonts w:cs="Times New Roman"/>
                <w:b/>
                <w:color w:val="000000"/>
                <w:lang w:val="cs-CZ"/>
              </w:rPr>
            </w:pPr>
            <w:r w:rsidRPr="00B25A22">
              <w:rPr>
                <w:rFonts w:cs="Times New Roman"/>
                <w:b/>
                <w:color w:val="000000"/>
                <w:sz w:val="22"/>
                <w:lang w:val="cs-CZ"/>
              </w:rPr>
              <w:t>mléko</w:t>
            </w:r>
          </w:p>
        </w:tc>
        <w:tc>
          <w:tcPr>
            <w:tcW w:w="346" w:type="pct"/>
            <w:tcBorders>
              <w:top w:val="nil"/>
              <w:left w:val="nil"/>
              <w:bottom w:val="single" w:sz="4" w:space="0" w:color="auto"/>
              <w:right w:val="single" w:sz="4" w:space="0" w:color="auto"/>
            </w:tcBorders>
            <w:shd w:val="clear" w:color="auto" w:fill="auto"/>
            <w:noWrap/>
            <w:vAlign w:val="center"/>
            <w:hideMark/>
          </w:tcPr>
          <w:p w14:paraId="2545DB50"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22 309</w:t>
            </w:r>
          </w:p>
        </w:tc>
        <w:tc>
          <w:tcPr>
            <w:tcW w:w="346" w:type="pct"/>
            <w:tcBorders>
              <w:top w:val="nil"/>
              <w:left w:val="nil"/>
              <w:bottom w:val="single" w:sz="4" w:space="0" w:color="auto"/>
              <w:right w:val="single" w:sz="4" w:space="0" w:color="auto"/>
            </w:tcBorders>
            <w:shd w:val="clear" w:color="auto" w:fill="auto"/>
            <w:noWrap/>
            <w:vAlign w:val="center"/>
            <w:hideMark/>
          </w:tcPr>
          <w:p w14:paraId="03FB5BF1"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21 252</w:t>
            </w:r>
          </w:p>
        </w:tc>
        <w:tc>
          <w:tcPr>
            <w:tcW w:w="346" w:type="pct"/>
            <w:tcBorders>
              <w:top w:val="nil"/>
              <w:left w:val="nil"/>
              <w:bottom w:val="single" w:sz="4" w:space="0" w:color="auto"/>
              <w:right w:val="single" w:sz="4" w:space="0" w:color="auto"/>
            </w:tcBorders>
            <w:shd w:val="clear" w:color="auto" w:fill="auto"/>
            <w:noWrap/>
            <w:vAlign w:val="center"/>
            <w:hideMark/>
          </w:tcPr>
          <w:p w14:paraId="5D02D1CA"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25 720</w:t>
            </w:r>
          </w:p>
        </w:tc>
        <w:tc>
          <w:tcPr>
            <w:tcW w:w="347" w:type="pct"/>
            <w:tcBorders>
              <w:top w:val="nil"/>
              <w:left w:val="nil"/>
              <w:bottom w:val="single" w:sz="4" w:space="0" w:color="auto"/>
              <w:right w:val="single" w:sz="4" w:space="0" w:color="auto"/>
            </w:tcBorders>
            <w:shd w:val="clear" w:color="auto" w:fill="auto"/>
            <w:noWrap/>
            <w:vAlign w:val="center"/>
            <w:hideMark/>
          </w:tcPr>
          <w:p w14:paraId="503716C9"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23 093</w:t>
            </w:r>
          </w:p>
        </w:tc>
        <w:tc>
          <w:tcPr>
            <w:tcW w:w="965" w:type="pct"/>
            <w:tcBorders>
              <w:top w:val="nil"/>
              <w:left w:val="nil"/>
              <w:bottom w:val="single" w:sz="4" w:space="0" w:color="auto"/>
              <w:right w:val="single" w:sz="4" w:space="0" w:color="auto"/>
            </w:tcBorders>
            <w:shd w:val="clear" w:color="auto" w:fill="auto"/>
            <w:noWrap/>
            <w:vAlign w:val="center"/>
            <w:hideMark/>
          </w:tcPr>
          <w:p w14:paraId="6C720624"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19</w:t>
            </w:r>
          </w:p>
        </w:tc>
        <w:tc>
          <w:tcPr>
            <w:tcW w:w="482" w:type="pct"/>
            <w:tcBorders>
              <w:top w:val="nil"/>
              <w:left w:val="nil"/>
              <w:bottom w:val="single" w:sz="4" w:space="0" w:color="auto"/>
              <w:right w:val="single" w:sz="4" w:space="0" w:color="auto"/>
            </w:tcBorders>
            <w:shd w:val="clear" w:color="auto" w:fill="auto"/>
            <w:noWrap/>
            <w:vAlign w:val="center"/>
            <w:hideMark/>
          </w:tcPr>
          <w:p w14:paraId="6D628D35" w14:textId="77777777" w:rsidR="00AA3A5F" w:rsidRPr="00B25A22" w:rsidRDefault="00AA3A5F" w:rsidP="007A68D5">
            <w:pPr>
              <w:jc w:val="center"/>
              <w:rPr>
                <w:rFonts w:cs="Times New Roman"/>
                <w:lang w:val="cs-CZ"/>
              </w:rPr>
            </w:pPr>
            <w:r w:rsidRPr="00B25A22">
              <w:rPr>
                <w:rFonts w:cs="Times New Roman"/>
                <w:sz w:val="22"/>
                <w:lang w:val="cs-CZ"/>
              </w:rPr>
              <w:t>15 882</w:t>
            </w:r>
          </w:p>
        </w:tc>
        <w:tc>
          <w:tcPr>
            <w:tcW w:w="482" w:type="pct"/>
            <w:tcBorders>
              <w:top w:val="nil"/>
              <w:left w:val="nil"/>
              <w:bottom w:val="single" w:sz="4" w:space="0" w:color="auto"/>
              <w:right w:val="single" w:sz="4" w:space="0" w:color="auto"/>
            </w:tcBorders>
            <w:shd w:val="clear" w:color="auto" w:fill="auto"/>
            <w:noWrap/>
            <w:vAlign w:val="center"/>
            <w:hideMark/>
          </w:tcPr>
          <w:p w14:paraId="78D02D73" w14:textId="77777777" w:rsidR="00AA3A5F" w:rsidRPr="00B25A22" w:rsidRDefault="00AA3A5F" w:rsidP="007A68D5">
            <w:pPr>
              <w:jc w:val="center"/>
              <w:rPr>
                <w:rFonts w:cs="Times New Roman"/>
                <w:lang w:val="cs-CZ"/>
              </w:rPr>
            </w:pPr>
            <w:r w:rsidRPr="00B25A22">
              <w:rPr>
                <w:rFonts w:cs="Times New Roman"/>
                <w:sz w:val="22"/>
                <w:lang w:val="cs-CZ"/>
              </w:rPr>
              <w:t>2017</w:t>
            </w:r>
          </w:p>
        </w:tc>
        <w:tc>
          <w:tcPr>
            <w:tcW w:w="1048" w:type="pct"/>
            <w:tcBorders>
              <w:top w:val="nil"/>
              <w:left w:val="nil"/>
              <w:bottom w:val="single" w:sz="4" w:space="0" w:color="auto"/>
              <w:right w:val="single" w:sz="12" w:space="0" w:color="auto"/>
            </w:tcBorders>
            <w:shd w:val="clear" w:color="auto" w:fill="F2F2F2" w:themeFill="background1" w:themeFillShade="F2"/>
            <w:noWrap/>
            <w:vAlign w:val="center"/>
            <w:hideMark/>
          </w:tcPr>
          <w:p w14:paraId="656C9713" w14:textId="77777777" w:rsidR="00AA3A5F" w:rsidRPr="00B25A22" w:rsidRDefault="00AA3A5F" w:rsidP="007A68D5">
            <w:pPr>
              <w:jc w:val="center"/>
              <w:rPr>
                <w:rFonts w:cs="Times New Roman"/>
                <w:bCs/>
                <w:lang w:val="cs-CZ"/>
              </w:rPr>
            </w:pPr>
            <w:r w:rsidRPr="00B25A22">
              <w:rPr>
                <w:rFonts w:cs="Times New Roman"/>
                <w:sz w:val="22"/>
                <w:lang w:val="cs-CZ"/>
              </w:rPr>
              <w:t>68,8</w:t>
            </w:r>
          </w:p>
        </w:tc>
      </w:tr>
      <w:tr w:rsidR="00AA3A5F" w:rsidRPr="00B25A22" w14:paraId="2833F4FF" w14:textId="77777777" w:rsidTr="007A68D5">
        <w:trPr>
          <w:trHeight w:val="536"/>
        </w:trPr>
        <w:tc>
          <w:tcPr>
            <w:tcW w:w="638" w:type="pct"/>
            <w:tcBorders>
              <w:top w:val="nil"/>
              <w:left w:val="single" w:sz="12" w:space="0" w:color="auto"/>
              <w:bottom w:val="single" w:sz="4" w:space="0" w:color="auto"/>
              <w:right w:val="single" w:sz="4" w:space="0" w:color="auto"/>
            </w:tcBorders>
            <w:shd w:val="clear" w:color="auto" w:fill="auto"/>
            <w:noWrap/>
            <w:vAlign w:val="center"/>
            <w:hideMark/>
          </w:tcPr>
          <w:p w14:paraId="400E49C2" w14:textId="77777777" w:rsidR="00AA3A5F" w:rsidRPr="00B25A22" w:rsidRDefault="00AA3A5F" w:rsidP="007A68D5">
            <w:pPr>
              <w:jc w:val="left"/>
              <w:rPr>
                <w:rFonts w:cs="Times New Roman"/>
                <w:b/>
                <w:color w:val="000000"/>
                <w:lang w:val="cs-CZ"/>
              </w:rPr>
            </w:pPr>
            <w:r w:rsidRPr="00B25A22">
              <w:rPr>
                <w:rFonts w:cs="Times New Roman"/>
                <w:b/>
                <w:color w:val="000000"/>
                <w:sz w:val="22"/>
                <w:lang w:val="cs-CZ"/>
              </w:rPr>
              <w:t>cukrovka</w:t>
            </w:r>
          </w:p>
        </w:tc>
        <w:tc>
          <w:tcPr>
            <w:tcW w:w="346" w:type="pct"/>
            <w:tcBorders>
              <w:top w:val="nil"/>
              <w:left w:val="nil"/>
              <w:bottom w:val="single" w:sz="4" w:space="0" w:color="auto"/>
              <w:right w:val="single" w:sz="4" w:space="0" w:color="auto"/>
            </w:tcBorders>
            <w:shd w:val="clear" w:color="auto" w:fill="auto"/>
            <w:noWrap/>
            <w:vAlign w:val="center"/>
            <w:hideMark/>
          </w:tcPr>
          <w:p w14:paraId="7F306C11"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2 898</w:t>
            </w:r>
          </w:p>
        </w:tc>
        <w:tc>
          <w:tcPr>
            <w:tcW w:w="346" w:type="pct"/>
            <w:tcBorders>
              <w:top w:val="nil"/>
              <w:left w:val="nil"/>
              <w:bottom w:val="single" w:sz="4" w:space="0" w:color="auto"/>
              <w:right w:val="single" w:sz="4" w:space="0" w:color="auto"/>
            </w:tcBorders>
            <w:shd w:val="clear" w:color="auto" w:fill="auto"/>
            <w:noWrap/>
            <w:vAlign w:val="center"/>
            <w:hideMark/>
          </w:tcPr>
          <w:p w14:paraId="7FAECB26"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3 558</w:t>
            </w:r>
          </w:p>
        </w:tc>
        <w:tc>
          <w:tcPr>
            <w:tcW w:w="346" w:type="pct"/>
            <w:tcBorders>
              <w:top w:val="nil"/>
              <w:left w:val="nil"/>
              <w:bottom w:val="single" w:sz="4" w:space="0" w:color="auto"/>
              <w:right w:val="single" w:sz="4" w:space="0" w:color="auto"/>
            </w:tcBorders>
            <w:shd w:val="clear" w:color="auto" w:fill="auto"/>
            <w:noWrap/>
            <w:vAlign w:val="center"/>
            <w:hideMark/>
          </w:tcPr>
          <w:p w14:paraId="6FB45E1F"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3 590</w:t>
            </w:r>
          </w:p>
        </w:tc>
        <w:tc>
          <w:tcPr>
            <w:tcW w:w="347" w:type="pct"/>
            <w:tcBorders>
              <w:top w:val="nil"/>
              <w:left w:val="nil"/>
              <w:bottom w:val="single" w:sz="4" w:space="0" w:color="auto"/>
              <w:right w:val="single" w:sz="4" w:space="0" w:color="auto"/>
            </w:tcBorders>
            <w:shd w:val="clear" w:color="auto" w:fill="auto"/>
            <w:noWrap/>
            <w:vAlign w:val="center"/>
            <w:hideMark/>
          </w:tcPr>
          <w:p w14:paraId="758BCC0F"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3 349</w:t>
            </w:r>
          </w:p>
        </w:tc>
        <w:tc>
          <w:tcPr>
            <w:tcW w:w="965" w:type="pct"/>
            <w:tcBorders>
              <w:top w:val="nil"/>
              <w:left w:val="nil"/>
              <w:bottom w:val="single" w:sz="4" w:space="0" w:color="auto"/>
              <w:right w:val="single" w:sz="4" w:space="0" w:color="auto"/>
            </w:tcBorders>
            <w:shd w:val="clear" w:color="auto" w:fill="auto"/>
            <w:noWrap/>
            <w:vAlign w:val="center"/>
            <w:hideMark/>
          </w:tcPr>
          <w:p w14:paraId="0F2064F2" w14:textId="77777777" w:rsidR="00AA3A5F" w:rsidRPr="00B25A22" w:rsidRDefault="00AA3A5F" w:rsidP="007A68D5">
            <w:pPr>
              <w:jc w:val="center"/>
              <w:rPr>
                <w:rFonts w:cs="Times New Roman"/>
                <w:color w:val="000000"/>
                <w:lang w:val="cs-CZ"/>
              </w:rPr>
            </w:pPr>
          </w:p>
        </w:tc>
        <w:tc>
          <w:tcPr>
            <w:tcW w:w="482" w:type="pct"/>
            <w:tcBorders>
              <w:top w:val="nil"/>
              <w:left w:val="nil"/>
              <w:bottom w:val="single" w:sz="4" w:space="0" w:color="auto"/>
              <w:right w:val="single" w:sz="4" w:space="0" w:color="auto"/>
            </w:tcBorders>
            <w:shd w:val="clear" w:color="auto" w:fill="auto"/>
            <w:noWrap/>
            <w:vAlign w:val="center"/>
            <w:hideMark/>
          </w:tcPr>
          <w:p w14:paraId="68CD5760" w14:textId="77777777" w:rsidR="00AA3A5F" w:rsidRPr="00B25A22" w:rsidRDefault="00AA3A5F" w:rsidP="007A68D5">
            <w:pPr>
              <w:jc w:val="center"/>
              <w:rPr>
                <w:rFonts w:cs="Times New Roman"/>
                <w:lang w:val="cs-CZ"/>
              </w:rPr>
            </w:pPr>
            <w:r w:rsidRPr="00B25A22">
              <w:rPr>
                <w:rFonts w:cs="Times New Roman"/>
                <w:sz w:val="22"/>
                <w:lang w:val="cs-CZ"/>
              </w:rPr>
              <w:t>0</w:t>
            </w:r>
          </w:p>
        </w:tc>
        <w:tc>
          <w:tcPr>
            <w:tcW w:w="482" w:type="pct"/>
            <w:tcBorders>
              <w:top w:val="nil"/>
              <w:left w:val="nil"/>
              <w:bottom w:val="single" w:sz="4" w:space="0" w:color="auto"/>
              <w:right w:val="single" w:sz="4" w:space="0" w:color="auto"/>
            </w:tcBorders>
            <w:shd w:val="clear" w:color="auto" w:fill="auto"/>
            <w:noWrap/>
            <w:vAlign w:val="center"/>
            <w:hideMark/>
          </w:tcPr>
          <w:p w14:paraId="289DF84F" w14:textId="77777777" w:rsidR="00AA3A5F" w:rsidRPr="00B25A22" w:rsidRDefault="00AA3A5F" w:rsidP="007A68D5">
            <w:pPr>
              <w:jc w:val="center"/>
              <w:rPr>
                <w:rFonts w:cs="Times New Roman"/>
                <w:lang w:val="cs-CZ"/>
              </w:rPr>
            </w:pPr>
            <w:r w:rsidRPr="00B25A22">
              <w:rPr>
                <w:rFonts w:cs="Times New Roman"/>
                <w:sz w:val="22"/>
                <w:lang w:val="cs-CZ"/>
              </w:rPr>
              <w:t>x</w:t>
            </w:r>
          </w:p>
        </w:tc>
        <w:tc>
          <w:tcPr>
            <w:tcW w:w="1048" w:type="pct"/>
            <w:tcBorders>
              <w:top w:val="nil"/>
              <w:left w:val="nil"/>
              <w:bottom w:val="single" w:sz="4" w:space="0" w:color="auto"/>
              <w:right w:val="single" w:sz="12" w:space="0" w:color="auto"/>
            </w:tcBorders>
            <w:shd w:val="clear" w:color="auto" w:fill="F2F2F2" w:themeFill="background1" w:themeFillShade="F2"/>
            <w:noWrap/>
            <w:vAlign w:val="center"/>
            <w:hideMark/>
          </w:tcPr>
          <w:p w14:paraId="4F4BC0E5" w14:textId="77777777" w:rsidR="00AA3A5F" w:rsidRPr="00B25A22" w:rsidRDefault="00AA3A5F" w:rsidP="007A68D5">
            <w:pPr>
              <w:jc w:val="center"/>
              <w:rPr>
                <w:rFonts w:cs="Times New Roman"/>
                <w:bCs/>
                <w:lang w:val="cs-CZ"/>
              </w:rPr>
            </w:pPr>
            <w:r w:rsidRPr="00B25A22">
              <w:rPr>
                <w:rFonts w:cs="Times New Roman"/>
                <w:color w:val="000000"/>
                <w:sz w:val="22"/>
                <w:lang w:val="cs-CZ"/>
              </w:rPr>
              <w:t>0</w:t>
            </w:r>
          </w:p>
        </w:tc>
      </w:tr>
      <w:tr w:rsidR="00AA3A5F" w:rsidRPr="00B25A22" w14:paraId="754D8E2A" w14:textId="77777777" w:rsidTr="007A68D5">
        <w:trPr>
          <w:trHeight w:val="536"/>
        </w:trPr>
        <w:tc>
          <w:tcPr>
            <w:tcW w:w="638" w:type="pct"/>
            <w:tcBorders>
              <w:top w:val="nil"/>
              <w:left w:val="single" w:sz="12" w:space="0" w:color="auto"/>
              <w:bottom w:val="single" w:sz="4" w:space="0" w:color="auto"/>
              <w:right w:val="single" w:sz="4" w:space="0" w:color="auto"/>
            </w:tcBorders>
            <w:shd w:val="clear" w:color="auto" w:fill="auto"/>
            <w:noWrap/>
            <w:vAlign w:val="center"/>
            <w:hideMark/>
          </w:tcPr>
          <w:p w14:paraId="6C4AB260" w14:textId="77777777" w:rsidR="00AA3A5F" w:rsidRPr="00B25A22" w:rsidRDefault="00AA3A5F" w:rsidP="007A68D5">
            <w:pPr>
              <w:jc w:val="left"/>
              <w:rPr>
                <w:rFonts w:cs="Times New Roman"/>
                <w:b/>
                <w:color w:val="000000"/>
                <w:lang w:val="cs-CZ"/>
              </w:rPr>
            </w:pPr>
            <w:r w:rsidRPr="00B25A22">
              <w:rPr>
                <w:rFonts w:cs="Times New Roman"/>
                <w:b/>
                <w:color w:val="000000"/>
                <w:sz w:val="22"/>
                <w:lang w:val="cs-CZ"/>
              </w:rPr>
              <w:t>chmel</w:t>
            </w:r>
          </w:p>
        </w:tc>
        <w:tc>
          <w:tcPr>
            <w:tcW w:w="346" w:type="pct"/>
            <w:tcBorders>
              <w:top w:val="nil"/>
              <w:left w:val="nil"/>
              <w:bottom w:val="single" w:sz="4" w:space="0" w:color="auto"/>
              <w:right w:val="single" w:sz="4" w:space="0" w:color="auto"/>
            </w:tcBorders>
            <w:shd w:val="clear" w:color="auto" w:fill="auto"/>
            <w:noWrap/>
            <w:vAlign w:val="center"/>
            <w:hideMark/>
          </w:tcPr>
          <w:p w14:paraId="08AA019E"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1 117</w:t>
            </w:r>
          </w:p>
        </w:tc>
        <w:tc>
          <w:tcPr>
            <w:tcW w:w="346" w:type="pct"/>
            <w:tcBorders>
              <w:top w:val="nil"/>
              <w:left w:val="nil"/>
              <w:bottom w:val="single" w:sz="4" w:space="0" w:color="auto"/>
              <w:right w:val="single" w:sz="4" w:space="0" w:color="auto"/>
            </w:tcBorders>
            <w:shd w:val="clear" w:color="auto" w:fill="auto"/>
            <w:noWrap/>
            <w:vAlign w:val="center"/>
            <w:hideMark/>
          </w:tcPr>
          <w:p w14:paraId="7D0CBDDF"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1 648</w:t>
            </w:r>
          </w:p>
        </w:tc>
        <w:tc>
          <w:tcPr>
            <w:tcW w:w="346" w:type="pct"/>
            <w:tcBorders>
              <w:top w:val="nil"/>
              <w:left w:val="nil"/>
              <w:bottom w:val="single" w:sz="4" w:space="0" w:color="auto"/>
              <w:right w:val="single" w:sz="4" w:space="0" w:color="auto"/>
            </w:tcBorders>
            <w:shd w:val="clear" w:color="auto" w:fill="auto"/>
            <w:noWrap/>
            <w:vAlign w:val="center"/>
            <w:hideMark/>
          </w:tcPr>
          <w:p w14:paraId="6CDD0C0B"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1 624</w:t>
            </w:r>
          </w:p>
        </w:tc>
        <w:tc>
          <w:tcPr>
            <w:tcW w:w="347" w:type="pct"/>
            <w:tcBorders>
              <w:top w:val="nil"/>
              <w:left w:val="nil"/>
              <w:bottom w:val="single" w:sz="4" w:space="0" w:color="auto"/>
              <w:right w:val="single" w:sz="4" w:space="0" w:color="auto"/>
            </w:tcBorders>
            <w:shd w:val="clear" w:color="auto" w:fill="auto"/>
            <w:noWrap/>
            <w:vAlign w:val="center"/>
            <w:hideMark/>
          </w:tcPr>
          <w:p w14:paraId="772401E5"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1 463</w:t>
            </w:r>
          </w:p>
        </w:tc>
        <w:tc>
          <w:tcPr>
            <w:tcW w:w="965" w:type="pct"/>
            <w:tcBorders>
              <w:top w:val="nil"/>
              <w:left w:val="nil"/>
              <w:bottom w:val="single" w:sz="4" w:space="0" w:color="auto"/>
              <w:right w:val="single" w:sz="4" w:space="0" w:color="auto"/>
            </w:tcBorders>
            <w:shd w:val="clear" w:color="auto" w:fill="auto"/>
            <w:vAlign w:val="center"/>
            <w:hideMark/>
          </w:tcPr>
          <w:p w14:paraId="3B69B0CB"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0</w:t>
            </w:r>
          </w:p>
        </w:tc>
        <w:tc>
          <w:tcPr>
            <w:tcW w:w="482" w:type="pct"/>
            <w:tcBorders>
              <w:top w:val="nil"/>
              <w:left w:val="nil"/>
              <w:bottom w:val="single" w:sz="4" w:space="0" w:color="auto"/>
              <w:right w:val="single" w:sz="4" w:space="0" w:color="auto"/>
            </w:tcBorders>
            <w:shd w:val="clear" w:color="auto" w:fill="auto"/>
            <w:noWrap/>
            <w:vAlign w:val="center"/>
            <w:hideMark/>
          </w:tcPr>
          <w:p w14:paraId="60B0264C" w14:textId="77777777" w:rsidR="00AA3A5F" w:rsidRPr="00B25A22" w:rsidRDefault="00AA3A5F" w:rsidP="007A68D5">
            <w:pPr>
              <w:jc w:val="center"/>
              <w:rPr>
                <w:rFonts w:cs="Times New Roman"/>
                <w:lang w:val="cs-CZ"/>
              </w:rPr>
            </w:pPr>
            <w:r w:rsidRPr="00B25A22">
              <w:rPr>
                <w:rFonts w:cs="Times New Roman"/>
                <w:sz w:val="22"/>
                <w:lang w:val="cs-CZ"/>
              </w:rPr>
              <w:t>0</w:t>
            </w:r>
          </w:p>
        </w:tc>
        <w:tc>
          <w:tcPr>
            <w:tcW w:w="482" w:type="pct"/>
            <w:tcBorders>
              <w:top w:val="nil"/>
              <w:left w:val="nil"/>
              <w:bottom w:val="single" w:sz="4" w:space="0" w:color="auto"/>
              <w:right w:val="single" w:sz="4" w:space="0" w:color="auto"/>
            </w:tcBorders>
            <w:shd w:val="clear" w:color="auto" w:fill="auto"/>
            <w:noWrap/>
            <w:vAlign w:val="center"/>
            <w:hideMark/>
          </w:tcPr>
          <w:p w14:paraId="60BA278B" w14:textId="77777777" w:rsidR="00AA3A5F" w:rsidRPr="00B25A22" w:rsidRDefault="00AA3A5F" w:rsidP="007A68D5">
            <w:pPr>
              <w:jc w:val="center"/>
              <w:rPr>
                <w:rFonts w:cs="Times New Roman"/>
                <w:lang w:val="cs-CZ"/>
              </w:rPr>
            </w:pPr>
            <w:r w:rsidRPr="00B25A22">
              <w:rPr>
                <w:rFonts w:cs="Times New Roman"/>
                <w:sz w:val="22"/>
                <w:lang w:val="cs-CZ"/>
              </w:rPr>
              <w:t>x</w:t>
            </w:r>
          </w:p>
        </w:tc>
        <w:tc>
          <w:tcPr>
            <w:tcW w:w="1048" w:type="pct"/>
            <w:tcBorders>
              <w:top w:val="nil"/>
              <w:left w:val="nil"/>
              <w:bottom w:val="single" w:sz="4" w:space="0" w:color="auto"/>
              <w:right w:val="single" w:sz="12" w:space="0" w:color="auto"/>
            </w:tcBorders>
            <w:shd w:val="clear" w:color="auto" w:fill="F2F2F2" w:themeFill="background1" w:themeFillShade="F2"/>
            <w:noWrap/>
            <w:vAlign w:val="center"/>
            <w:hideMark/>
          </w:tcPr>
          <w:p w14:paraId="608BFBF3" w14:textId="77777777" w:rsidR="00AA3A5F" w:rsidRPr="00B25A22" w:rsidRDefault="00AA3A5F" w:rsidP="007A68D5">
            <w:pPr>
              <w:jc w:val="center"/>
              <w:rPr>
                <w:rFonts w:cs="Times New Roman"/>
                <w:bCs/>
                <w:lang w:val="cs-CZ"/>
              </w:rPr>
            </w:pPr>
            <w:r w:rsidRPr="00B25A22">
              <w:rPr>
                <w:rFonts w:cs="Times New Roman"/>
                <w:color w:val="000000"/>
                <w:sz w:val="22"/>
                <w:lang w:val="cs-CZ"/>
              </w:rPr>
              <w:t>0</w:t>
            </w:r>
          </w:p>
        </w:tc>
      </w:tr>
      <w:tr w:rsidR="00AA3A5F" w:rsidRPr="00B25A22" w14:paraId="29426528" w14:textId="77777777" w:rsidTr="007A68D5">
        <w:trPr>
          <w:trHeight w:val="536"/>
        </w:trPr>
        <w:tc>
          <w:tcPr>
            <w:tcW w:w="638" w:type="pct"/>
            <w:tcBorders>
              <w:top w:val="nil"/>
              <w:left w:val="single" w:sz="12" w:space="0" w:color="auto"/>
              <w:bottom w:val="single" w:sz="4" w:space="0" w:color="auto"/>
              <w:right w:val="single" w:sz="4" w:space="0" w:color="auto"/>
            </w:tcBorders>
            <w:shd w:val="clear" w:color="auto" w:fill="auto"/>
            <w:noWrap/>
            <w:vAlign w:val="center"/>
            <w:hideMark/>
          </w:tcPr>
          <w:p w14:paraId="3B53C8E2" w14:textId="77777777" w:rsidR="00AA3A5F" w:rsidRPr="00B25A22" w:rsidRDefault="00AA3A5F" w:rsidP="007A68D5">
            <w:pPr>
              <w:jc w:val="left"/>
              <w:rPr>
                <w:rFonts w:cs="Times New Roman"/>
                <w:b/>
                <w:color w:val="000000"/>
                <w:lang w:val="cs-CZ"/>
              </w:rPr>
            </w:pPr>
            <w:r w:rsidRPr="00B25A22">
              <w:rPr>
                <w:rFonts w:cs="Times New Roman"/>
                <w:b/>
                <w:color w:val="000000"/>
                <w:sz w:val="22"/>
                <w:lang w:val="cs-CZ"/>
              </w:rPr>
              <w:t>brambory</w:t>
            </w:r>
          </w:p>
        </w:tc>
        <w:tc>
          <w:tcPr>
            <w:tcW w:w="346" w:type="pct"/>
            <w:tcBorders>
              <w:top w:val="nil"/>
              <w:left w:val="nil"/>
              <w:bottom w:val="single" w:sz="4" w:space="0" w:color="auto"/>
              <w:right w:val="single" w:sz="4" w:space="0" w:color="auto"/>
            </w:tcBorders>
            <w:shd w:val="clear" w:color="auto" w:fill="auto"/>
            <w:noWrap/>
            <w:vAlign w:val="center"/>
            <w:hideMark/>
          </w:tcPr>
          <w:p w14:paraId="184E6809"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2 193</w:t>
            </w:r>
          </w:p>
        </w:tc>
        <w:tc>
          <w:tcPr>
            <w:tcW w:w="346" w:type="pct"/>
            <w:tcBorders>
              <w:top w:val="nil"/>
              <w:left w:val="nil"/>
              <w:bottom w:val="single" w:sz="4" w:space="0" w:color="auto"/>
              <w:right w:val="single" w:sz="4" w:space="0" w:color="auto"/>
            </w:tcBorders>
            <w:shd w:val="clear" w:color="auto" w:fill="auto"/>
            <w:noWrap/>
            <w:vAlign w:val="center"/>
            <w:hideMark/>
          </w:tcPr>
          <w:p w14:paraId="12F9E442"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2 843</w:t>
            </w:r>
          </w:p>
        </w:tc>
        <w:tc>
          <w:tcPr>
            <w:tcW w:w="346" w:type="pct"/>
            <w:tcBorders>
              <w:top w:val="nil"/>
              <w:left w:val="nil"/>
              <w:bottom w:val="single" w:sz="4" w:space="0" w:color="auto"/>
              <w:right w:val="single" w:sz="4" w:space="0" w:color="auto"/>
            </w:tcBorders>
            <w:shd w:val="clear" w:color="auto" w:fill="auto"/>
            <w:noWrap/>
            <w:vAlign w:val="center"/>
            <w:hideMark/>
          </w:tcPr>
          <w:p w14:paraId="17B67A4A"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2 833</w:t>
            </w:r>
          </w:p>
        </w:tc>
        <w:tc>
          <w:tcPr>
            <w:tcW w:w="347" w:type="pct"/>
            <w:tcBorders>
              <w:top w:val="nil"/>
              <w:left w:val="nil"/>
              <w:bottom w:val="single" w:sz="4" w:space="0" w:color="auto"/>
              <w:right w:val="single" w:sz="4" w:space="0" w:color="auto"/>
            </w:tcBorders>
            <w:shd w:val="clear" w:color="auto" w:fill="auto"/>
            <w:noWrap/>
            <w:vAlign w:val="center"/>
            <w:hideMark/>
          </w:tcPr>
          <w:p w14:paraId="4E7E3935"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2 623</w:t>
            </w:r>
          </w:p>
        </w:tc>
        <w:tc>
          <w:tcPr>
            <w:tcW w:w="965" w:type="pct"/>
            <w:tcBorders>
              <w:top w:val="nil"/>
              <w:left w:val="nil"/>
              <w:bottom w:val="single" w:sz="4" w:space="0" w:color="auto"/>
              <w:right w:val="single" w:sz="4" w:space="0" w:color="auto"/>
            </w:tcBorders>
            <w:shd w:val="clear" w:color="auto" w:fill="auto"/>
            <w:vAlign w:val="center"/>
            <w:hideMark/>
          </w:tcPr>
          <w:p w14:paraId="5B65754D"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0</w:t>
            </w:r>
          </w:p>
        </w:tc>
        <w:tc>
          <w:tcPr>
            <w:tcW w:w="482" w:type="pct"/>
            <w:tcBorders>
              <w:top w:val="nil"/>
              <w:left w:val="nil"/>
              <w:bottom w:val="single" w:sz="4" w:space="0" w:color="auto"/>
              <w:right w:val="single" w:sz="8" w:space="0" w:color="auto"/>
            </w:tcBorders>
            <w:shd w:val="clear" w:color="auto" w:fill="auto"/>
            <w:noWrap/>
            <w:vAlign w:val="center"/>
            <w:hideMark/>
          </w:tcPr>
          <w:p w14:paraId="5E51FD03"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0</w:t>
            </w:r>
          </w:p>
        </w:tc>
        <w:tc>
          <w:tcPr>
            <w:tcW w:w="482" w:type="pct"/>
            <w:tcBorders>
              <w:top w:val="nil"/>
              <w:left w:val="single" w:sz="4" w:space="0" w:color="auto"/>
              <w:bottom w:val="single" w:sz="4" w:space="0" w:color="auto"/>
              <w:right w:val="nil"/>
            </w:tcBorders>
            <w:shd w:val="clear" w:color="auto" w:fill="auto"/>
            <w:noWrap/>
            <w:vAlign w:val="center"/>
            <w:hideMark/>
          </w:tcPr>
          <w:p w14:paraId="0A644777"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x</w:t>
            </w:r>
          </w:p>
        </w:tc>
        <w:tc>
          <w:tcPr>
            <w:tcW w:w="1048" w:type="pct"/>
            <w:tcBorders>
              <w:top w:val="nil"/>
              <w:left w:val="single" w:sz="4" w:space="0" w:color="auto"/>
              <w:bottom w:val="single" w:sz="4" w:space="0" w:color="auto"/>
              <w:right w:val="single" w:sz="12" w:space="0" w:color="auto"/>
            </w:tcBorders>
            <w:shd w:val="clear" w:color="auto" w:fill="F2F2F2" w:themeFill="background1" w:themeFillShade="F2"/>
            <w:noWrap/>
            <w:vAlign w:val="center"/>
            <w:hideMark/>
          </w:tcPr>
          <w:p w14:paraId="44165EDF" w14:textId="77777777" w:rsidR="00AA3A5F" w:rsidRPr="00B25A22" w:rsidRDefault="00AA3A5F" w:rsidP="007A68D5">
            <w:pPr>
              <w:jc w:val="center"/>
              <w:rPr>
                <w:rFonts w:cs="Times New Roman"/>
                <w:bCs/>
                <w:lang w:val="cs-CZ"/>
              </w:rPr>
            </w:pPr>
            <w:r w:rsidRPr="00B25A22">
              <w:rPr>
                <w:rFonts w:cs="Times New Roman"/>
                <w:sz w:val="22"/>
                <w:lang w:val="cs-CZ"/>
              </w:rPr>
              <w:t>0</w:t>
            </w:r>
          </w:p>
        </w:tc>
      </w:tr>
      <w:tr w:rsidR="00AA3A5F" w:rsidRPr="00B25A22" w14:paraId="08AD4965" w14:textId="77777777" w:rsidTr="007A68D5">
        <w:trPr>
          <w:trHeight w:val="536"/>
        </w:trPr>
        <w:tc>
          <w:tcPr>
            <w:tcW w:w="638" w:type="pct"/>
            <w:tcBorders>
              <w:top w:val="nil"/>
              <w:left w:val="single" w:sz="12" w:space="0" w:color="auto"/>
              <w:bottom w:val="single" w:sz="12" w:space="0" w:color="auto"/>
              <w:right w:val="single" w:sz="4" w:space="0" w:color="auto"/>
            </w:tcBorders>
            <w:shd w:val="clear" w:color="auto" w:fill="auto"/>
            <w:noWrap/>
            <w:vAlign w:val="center"/>
            <w:hideMark/>
          </w:tcPr>
          <w:p w14:paraId="732F88B1" w14:textId="77777777" w:rsidR="00AA3A5F" w:rsidRPr="00B25A22" w:rsidRDefault="00AA3A5F" w:rsidP="007A68D5">
            <w:pPr>
              <w:jc w:val="left"/>
              <w:rPr>
                <w:rFonts w:cs="Times New Roman"/>
                <w:b/>
                <w:color w:val="000000"/>
                <w:lang w:val="cs-CZ"/>
              </w:rPr>
            </w:pPr>
            <w:r w:rsidRPr="00B25A22">
              <w:rPr>
                <w:rFonts w:cs="Times New Roman"/>
                <w:b/>
                <w:color w:val="000000"/>
                <w:sz w:val="22"/>
                <w:lang w:val="cs-CZ"/>
              </w:rPr>
              <w:t xml:space="preserve">OZEL </w:t>
            </w:r>
            <w:r w:rsidRPr="00B25A22">
              <w:rPr>
                <w:rFonts w:cs="Times New Roman"/>
                <w:b/>
                <w:color w:val="000000"/>
                <w:sz w:val="22"/>
                <w:vertAlign w:val="superscript"/>
                <w:lang w:val="cs-CZ"/>
              </w:rPr>
              <w:t>2)</w:t>
            </w:r>
          </w:p>
        </w:tc>
        <w:tc>
          <w:tcPr>
            <w:tcW w:w="346" w:type="pct"/>
            <w:tcBorders>
              <w:top w:val="nil"/>
              <w:left w:val="nil"/>
              <w:bottom w:val="single" w:sz="12" w:space="0" w:color="auto"/>
              <w:right w:val="single" w:sz="4" w:space="0" w:color="auto"/>
            </w:tcBorders>
            <w:shd w:val="clear" w:color="auto" w:fill="auto"/>
            <w:noWrap/>
            <w:vAlign w:val="center"/>
            <w:hideMark/>
          </w:tcPr>
          <w:p w14:paraId="019BF45A"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7 354</w:t>
            </w:r>
          </w:p>
        </w:tc>
        <w:tc>
          <w:tcPr>
            <w:tcW w:w="346" w:type="pct"/>
            <w:tcBorders>
              <w:top w:val="nil"/>
              <w:left w:val="nil"/>
              <w:bottom w:val="single" w:sz="12" w:space="0" w:color="auto"/>
              <w:right w:val="single" w:sz="4" w:space="0" w:color="auto"/>
            </w:tcBorders>
            <w:shd w:val="clear" w:color="auto" w:fill="auto"/>
            <w:noWrap/>
            <w:vAlign w:val="center"/>
            <w:hideMark/>
          </w:tcPr>
          <w:p w14:paraId="56F9D286"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7 628</w:t>
            </w:r>
          </w:p>
        </w:tc>
        <w:tc>
          <w:tcPr>
            <w:tcW w:w="346" w:type="pct"/>
            <w:tcBorders>
              <w:top w:val="nil"/>
              <w:left w:val="nil"/>
              <w:bottom w:val="single" w:sz="12" w:space="0" w:color="auto"/>
              <w:right w:val="single" w:sz="4" w:space="0" w:color="auto"/>
            </w:tcBorders>
            <w:shd w:val="clear" w:color="auto" w:fill="auto"/>
            <w:noWrap/>
            <w:vAlign w:val="center"/>
            <w:hideMark/>
          </w:tcPr>
          <w:p w14:paraId="490E3081"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8 275</w:t>
            </w:r>
          </w:p>
        </w:tc>
        <w:tc>
          <w:tcPr>
            <w:tcW w:w="347" w:type="pct"/>
            <w:tcBorders>
              <w:top w:val="nil"/>
              <w:left w:val="nil"/>
              <w:bottom w:val="single" w:sz="12" w:space="0" w:color="auto"/>
              <w:right w:val="single" w:sz="4" w:space="0" w:color="auto"/>
            </w:tcBorders>
            <w:shd w:val="clear" w:color="auto" w:fill="auto"/>
            <w:noWrap/>
            <w:vAlign w:val="center"/>
            <w:hideMark/>
          </w:tcPr>
          <w:p w14:paraId="4067914A"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7 752</w:t>
            </w:r>
          </w:p>
        </w:tc>
        <w:tc>
          <w:tcPr>
            <w:tcW w:w="965" w:type="pct"/>
            <w:tcBorders>
              <w:top w:val="nil"/>
              <w:left w:val="nil"/>
              <w:bottom w:val="single" w:sz="12" w:space="0" w:color="auto"/>
              <w:right w:val="single" w:sz="4" w:space="0" w:color="auto"/>
            </w:tcBorders>
            <w:shd w:val="clear" w:color="auto" w:fill="auto"/>
            <w:vAlign w:val="center"/>
            <w:hideMark/>
          </w:tcPr>
          <w:p w14:paraId="603DA836"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21 + 1 nadnárodní</w:t>
            </w:r>
          </w:p>
        </w:tc>
        <w:tc>
          <w:tcPr>
            <w:tcW w:w="482" w:type="pct"/>
            <w:tcBorders>
              <w:top w:val="nil"/>
              <w:left w:val="nil"/>
              <w:bottom w:val="single" w:sz="12" w:space="0" w:color="auto"/>
              <w:right w:val="nil"/>
            </w:tcBorders>
            <w:shd w:val="clear" w:color="auto" w:fill="auto"/>
            <w:noWrap/>
            <w:vAlign w:val="center"/>
            <w:hideMark/>
          </w:tcPr>
          <w:p w14:paraId="386B01C6" w14:textId="77777777" w:rsidR="00AA3A5F" w:rsidRPr="00B25A22" w:rsidRDefault="00AA3A5F" w:rsidP="007A68D5">
            <w:pPr>
              <w:jc w:val="center"/>
              <w:rPr>
                <w:rFonts w:cs="Times New Roman"/>
                <w:color w:val="000000"/>
                <w:lang w:val="cs-CZ"/>
              </w:rPr>
            </w:pPr>
            <w:r w:rsidRPr="00B25A22">
              <w:rPr>
                <w:rFonts w:cs="Times New Roman"/>
                <w:sz w:val="22"/>
                <w:lang w:val="cs-CZ"/>
              </w:rPr>
              <w:t>2 832</w:t>
            </w:r>
          </w:p>
        </w:tc>
        <w:tc>
          <w:tcPr>
            <w:tcW w:w="482" w:type="pct"/>
            <w:tcBorders>
              <w:top w:val="nil"/>
              <w:left w:val="single" w:sz="4" w:space="0" w:color="auto"/>
              <w:bottom w:val="single" w:sz="12" w:space="0" w:color="auto"/>
              <w:right w:val="nil"/>
            </w:tcBorders>
            <w:shd w:val="clear" w:color="auto" w:fill="auto"/>
            <w:noWrap/>
            <w:vAlign w:val="center"/>
            <w:hideMark/>
          </w:tcPr>
          <w:p w14:paraId="7C2FE0D1"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2017</w:t>
            </w:r>
          </w:p>
        </w:tc>
        <w:tc>
          <w:tcPr>
            <w:tcW w:w="1048" w:type="pct"/>
            <w:tcBorders>
              <w:top w:val="nil"/>
              <w:left w:val="single" w:sz="4" w:space="0" w:color="auto"/>
              <w:bottom w:val="single" w:sz="12" w:space="0" w:color="auto"/>
              <w:right w:val="single" w:sz="12" w:space="0" w:color="auto"/>
            </w:tcBorders>
            <w:shd w:val="clear" w:color="auto" w:fill="F2F2F2" w:themeFill="background1" w:themeFillShade="F2"/>
            <w:noWrap/>
            <w:vAlign w:val="center"/>
            <w:hideMark/>
          </w:tcPr>
          <w:p w14:paraId="53D0B49A" w14:textId="77777777" w:rsidR="00AA3A5F" w:rsidRPr="00B25A22" w:rsidRDefault="00AA3A5F" w:rsidP="007A68D5">
            <w:pPr>
              <w:jc w:val="center"/>
              <w:rPr>
                <w:rFonts w:cs="Times New Roman"/>
                <w:bCs/>
                <w:lang w:val="cs-CZ"/>
              </w:rPr>
            </w:pPr>
            <w:r w:rsidRPr="00B25A22">
              <w:rPr>
                <w:rFonts w:cs="Times New Roman"/>
                <w:sz w:val="22"/>
                <w:lang w:val="cs-CZ"/>
              </w:rPr>
              <w:t>36,5</w:t>
            </w:r>
          </w:p>
        </w:tc>
      </w:tr>
    </w:tbl>
    <w:p w14:paraId="7AE56C2C" w14:textId="77777777" w:rsidR="00AA3A5F" w:rsidRPr="007D69D6" w:rsidRDefault="00AA3A5F" w:rsidP="00BA3563">
      <w:pPr>
        <w:pStyle w:val="Odstavecseseznamem"/>
        <w:numPr>
          <w:ilvl w:val="0"/>
          <w:numId w:val="25"/>
        </w:numPr>
        <w:spacing w:line="0" w:lineRule="atLeast"/>
        <w:ind w:left="284" w:hanging="284"/>
        <w:rPr>
          <w:i/>
          <w:iCs/>
          <w:sz w:val="18"/>
          <w:szCs w:val="18"/>
        </w:rPr>
      </w:pPr>
      <w:r w:rsidRPr="007D69D6">
        <w:rPr>
          <w:i/>
          <w:iCs/>
          <w:sz w:val="18"/>
          <w:szCs w:val="18"/>
        </w:rPr>
        <w:t>Tržby uznaných OP v odvětví vepřové maso, hovězí a telecí maso a vejce byly převzaty z veřejně dostupných zdrojů. Tržby v odvětví mléko byly vypočteny jako součin obchodované produkce a průměrné CZV mléka. Tržby v odvětví OZEL byly převzaty z podkladů SZIF. 2) Tržby odvětví OZEL obsahují dopočty samozásobení. Bez dopočtů by organizovanost odvětví dosáhla zhruba 40 %.</w:t>
      </w:r>
    </w:p>
    <w:p w14:paraId="4E73D4EF" w14:textId="77777777" w:rsidR="00AA3A5F" w:rsidRPr="007D69D6" w:rsidRDefault="00AA3A5F" w:rsidP="00AA3A5F">
      <w:pPr>
        <w:spacing w:line="0" w:lineRule="atLeast"/>
        <w:rPr>
          <w:rFonts w:eastAsia="Calibri" w:cs="Times New Roman"/>
          <w:b/>
          <w:i/>
          <w:iCs/>
          <w:sz w:val="22"/>
          <w:lang w:val="cs-CZ"/>
        </w:rPr>
      </w:pPr>
      <w:r w:rsidRPr="007D69D6">
        <w:rPr>
          <w:rFonts w:eastAsia="Calibri" w:cs="Times New Roman"/>
          <w:i/>
          <w:iCs/>
          <w:sz w:val="18"/>
          <w:szCs w:val="18"/>
          <w:lang w:val="cs-CZ"/>
        </w:rPr>
        <w:t>Pramen: Vlastní sestavení z dat SZIF, MZe a portálu www.justice.cz</w:t>
      </w:r>
    </w:p>
    <w:p w14:paraId="6A014B35" w14:textId="77777777" w:rsidR="00FC38C5" w:rsidRDefault="00FC38C5" w:rsidP="00AA3A5F">
      <w:pPr>
        <w:rPr>
          <w:rFonts w:cs="Times New Roman"/>
          <w:sz w:val="22"/>
          <w:lang w:val="cs-CZ"/>
        </w:rPr>
        <w:sectPr w:rsidR="00FC38C5" w:rsidSect="007A68D5">
          <w:pgSz w:w="16838" w:h="11906" w:orient="landscape"/>
          <w:pgMar w:top="1417" w:right="1417" w:bottom="1417" w:left="1417" w:header="708" w:footer="708" w:gutter="0"/>
          <w:cols w:space="708"/>
          <w:titlePg/>
          <w:docGrid w:linePitch="360"/>
        </w:sectPr>
      </w:pPr>
    </w:p>
    <w:p w14:paraId="01009958" w14:textId="77777777" w:rsidR="00AA3A5F" w:rsidRPr="00B25A22" w:rsidRDefault="00AA3A5F" w:rsidP="007D69D6">
      <w:pPr>
        <w:pStyle w:val="UZEINormaln"/>
      </w:pPr>
      <w:r w:rsidRPr="00B25A22">
        <w:lastRenderedPageBreak/>
        <w:t>Stávající opatření operačních programů v odvětví ovoce a zelenina</w:t>
      </w:r>
      <w:r w:rsidRPr="00B25A22">
        <w:rPr>
          <w:caps/>
        </w:rPr>
        <w:t xml:space="preserve"> </w:t>
      </w:r>
      <w:r w:rsidRPr="00B25A22">
        <w:t>v předchozích obdobích</w:t>
      </w:r>
    </w:p>
    <w:p w14:paraId="0F076C76" w14:textId="77777777" w:rsidR="00AA3A5F" w:rsidRPr="00B25A22" w:rsidRDefault="00AA3A5F" w:rsidP="007D69D6">
      <w:pPr>
        <w:pStyle w:val="UZEINormaln"/>
      </w:pPr>
      <w:r w:rsidRPr="00B25A22">
        <w:t>Níže jsou uvedena opatření operačních programů na základě Vnitrostátní strategie ČR pro udržitelné operační programy organizací producentů v sektoru ovoce a zeleniny a Vnitrostátní rámec ČR pro operační programy organizací producentů v sektoru ovoce a zeleniny týkající se environmentálních opatření pro období 2015 – 2020. Opatření navazují na Strategii v letech 2007 </w:t>
      </w:r>
      <w:r w:rsidRPr="00B25A22">
        <w:noBreakHyphen/>
        <w:t> 2013.</w:t>
      </w:r>
    </w:p>
    <w:p w14:paraId="2AD893C8" w14:textId="77777777" w:rsidR="00AA3A5F" w:rsidRPr="007D69D6" w:rsidRDefault="00AA3A5F" w:rsidP="007D69D6">
      <w:pPr>
        <w:pStyle w:val="UZEINormaln"/>
        <w:rPr>
          <w:b/>
          <w:bCs/>
        </w:rPr>
      </w:pPr>
      <w:r w:rsidRPr="007D69D6">
        <w:rPr>
          <w:b/>
          <w:bCs/>
        </w:rPr>
        <w:t>Opatření č. 1 - Plánování produkce</w:t>
      </w:r>
    </w:p>
    <w:p w14:paraId="51AA2560" w14:textId="77777777" w:rsidR="00AA3A5F" w:rsidRPr="00B25A22" w:rsidRDefault="00AA3A5F" w:rsidP="007D69D6">
      <w:pPr>
        <w:pStyle w:val="UZEINormaln"/>
      </w:pPr>
      <w:r w:rsidRPr="00B25A22">
        <w:t>Akce zaměřené na plánování produkce:</w:t>
      </w:r>
    </w:p>
    <w:p w14:paraId="0768C189" w14:textId="77777777" w:rsidR="00AA3A5F" w:rsidRPr="00B25A22" w:rsidRDefault="00AA3A5F" w:rsidP="007D69D6">
      <w:pPr>
        <w:pStyle w:val="UZEIOdrky"/>
      </w:pPr>
      <w:r w:rsidRPr="00B25A22">
        <w:t xml:space="preserve">výdaje spojené s pořízením výpočetní a kancelářské techniky, </w:t>
      </w:r>
    </w:p>
    <w:p w14:paraId="58D564E8" w14:textId="77777777" w:rsidR="00AA3A5F" w:rsidRPr="00B25A22" w:rsidRDefault="00AA3A5F" w:rsidP="007D69D6">
      <w:pPr>
        <w:pStyle w:val="UZEIOdrky"/>
      </w:pPr>
      <w:r w:rsidRPr="00B25A22">
        <w:t xml:space="preserve">výdaje spojené s pořízením softwarového vybavení nebo </w:t>
      </w:r>
    </w:p>
    <w:p w14:paraId="0D8D04B5" w14:textId="77777777" w:rsidR="00AA3A5F" w:rsidRPr="00B25A22" w:rsidRDefault="00AA3A5F" w:rsidP="007D69D6">
      <w:pPr>
        <w:pStyle w:val="UZEIOdrky"/>
      </w:pPr>
      <w:r w:rsidRPr="00B25A22">
        <w:t>osobní náklady v souvislosti s plánováním produkce (například odhady, sklizňové termíny, soulad mezi poptávkou a nabídkou, průzkum trhu).</w:t>
      </w:r>
    </w:p>
    <w:p w14:paraId="75FA40DC" w14:textId="77777777" w:rsidR="00AA3A5F" w:rsidRPr="007D69D6" w:rsidRDefault="00AA3A5F" w:rsidP="007D69D6">
      <w:pPr>
        <w:pStyle w:val="UZEINormaln"/>
        <w:rPr>
          <w:b/>
          <w:bCs/>
        </w:rPr>
      </w:pPr>
      <w:r w:rsidRPr="007D69D6">
        <w:rPr>
          <w:b/>
          <w:bCs/>
        </w:rPr>
        <w:t>Opatření č. 2 - Kvalita produkce</w:t>
      </w:r>
    </w:p>
    <w:p w14:paraId="1C971F1A" w14:textId="77777777" w:rsidR="00AA3A5F" w:rsidRPr="00B25A22" w:rsidRDefault="00AA3A5F" w:rsidP="007D69D6">
      <w:pPr>
        <w:pStyle w:val="UZEINormaln"/>
      </w:pPr>
      <w:r w:rsidRPr="00B25A22">
        <w:t>Akce zaměřené na kvalitu produkce:</w:t>
      </w:r>
    </w:p>
    <w:p w14:paraId="6C90E090" w14:textId="77777777" w:rsidR="00AA3A5F" w:rsidRPr="00B25A22" w:rsidRDefault="00AA3A5F" w:rsidP="007D69D6">
      <w:pPr>
        <w:pStyle w:val="UZEIOdrky"/>
      </w:pPr>
      <w:r w:rsidRPr="00B25A22">
        <w:t xml:space="preserve">výdaje spojené s pořízením technologií pro přípravu půdy, </w:t>
      </w:r>
    </w:p>
    <w:p w14:paraId="0D03F664" w14:textId="77777777" w:rsidR="00AA3A5F" w:rsidRPr="00B25A22" w:rsidRDefault="00AA3A5F" w:rsidP="007D69D6">
      <w:pPr>
        <w:pStyle w:val="UZEIOdrky"/>
      </w:pPr>
      <w:r w:rsidRPr="00B25A22">
        <w:t xml:space="preserve">výdaje spojené s pořízením technologií pro ošetřování rostlin, </w:t>
      </w:r>
    </w:p>
    <w:p w14:paraId="6C101A64" w14:textId="77777777" w:rsidR="00AA3A5F" w:rsidRPr="00B25A22" w:rsidRDefault="00AA3A5F" w:rsidP="007D69D6">
      <w:pPr>
        <w:pStyle w:val="UZEIOdrky"/>
      </w:pPr>
      <w:r w:rsidRPr="00B25A22">
        <w:t xml:space="preserve">výdaje spojené s pořízením technologií pro sklizeň rostlin, </w:t>
      </w:r>
    </w:p>
    <w:p w14:paraId="40D153C8" w14:textId="77777777" w:rsidR="00AA3A5F" w:rsidRPr="00B25A22" w:rsidRDefault="00AA3A5F" w:rsidP="007D69D6">
      <w:pPr>
        <w:pStyle w:val="UZEIOdrky"/>
      </w:pPr>
      <w:r w:rsidRPr="00B25A22">
        <w:t xml:space="preserve">výdaje spojené s pořízením technologií pro dopravu produkce k posklizňové úpravě či ke zpracování, </w:t>
      </w:r>
    </w:p>
    <w:p w14:paraId="3987F766" w14:textId="77777777" w:rsidR="00AA3A5F" w:rsidRPr="00B25A22" w:rsidRDefault="00AA3A5F" w:rsidP="007D69D6">
      <w:pPr>
        <w:pStyle w:val="UZEIOdrky"/>
      </w:pPr>
      <w:r w:rsidRPr="00B25A22">
        <w:t xml:space="preserve">výdaje spojené s pořízením skleníků či foliových krytů, </w:t>
      </w:r>
    </w:p>
    <w:p w14:paraId="302AD26E" w14:textId="77777777" w:rsidR="00AA3A5F" w:rsidRPr="00B25A22" w:rsidRDefault="00AA3A5F" w:rsidP="007D69D6">
      <w:pPr>
        <w:pStyle w:val="UZEIOdrky"/>
      </w:pPr>
      <w:r w:rsidRPr="00B25A22">
        <w:t xml:space="preserve">osobní náklady vyplývající z opatření ke zlepšení a udržení vysoké úrovně jakosti, </w:t>
      </w:r>
    </w:p>
    <w:p w14:paraId="75D79FA6" w14:textId="77777777" w:rsidR="00AA3A5F" w:rsidRPr="00B25A22" w:rsidRDefault="00AA3A5F" w:rsidP="007D69D6">
      <w:pPr>
        <w:pStyle w:val="UZEIOdrky"/>
      </w:pPr>
      <w:r w:rsidRPr="00B25A22">
        <w:t xml:space="preserve">výdaje spojené s pořízením přepravních zařízení udržujících kvalitu produkce, </w:t>
      </w:r>
    </w:p>
    <w:p w14:paraId="6C148D67" w14:textId="77777777" w:rsidR="00AA3A5F" w:rsidRPr="00B25A22" w:rsidRDefault="00AA3A5F" w:rsidP="007D69D6">
      <w:pPr>
        <w:pStyle w:val="UZEIOdrky"/>
      </w:pPr>
      <w:r w:rsidRPr="00B25A22">
        <w:t xml:space="preserve">výdaje spojené s budováním systémů síťových a foliových krytů, </w:t>
      </w:r>
    </w:p>
    <w:p w14:paraId="6B818A0C" w14:textId="77777777" w:rsidR="00AA3A5F" w:rsidRPr="00B25A22" w:rsidRDefault="00AA3A5F" w:rsidP="007D69D6">
      <w:pPr>
        <w:pStyle w:val="UZEIOdrky"/>
      </w:pPr>
      <w:r w:rsidRPr="00B25A22">
        <w:t xml:space="preserve">výdaje spojené s pořízením zařízení a strojního vybavení k monitoringu kvality produkce, </w:t>
      </w:r>
    </w:p>
    <w:p w14:paraId="6399E246" w14:textId="77777777" w:rsidR="00AA3A5F" w:rsidRPr="00B25A22" w:rsidRDefault="00AA3A5F" w:rsidP="007D69D6">
      <w:pPr>
        <w:pStyle w:val="UZEIOdrky"/>
      </w:pPr>
      <w:r w:rsidRPr="00B25A22">
        <w:t xml:space="preserve">výdaje spojené s pořízením zařízení zvyšujících hygienu a kvalitu skladovacích prostor, </w:t>
      </w:r>
    </w:p>
    <w:p w14:paraId="218A7145" w14:textId="77777777" w:rsidR="00AA3A5F" w:rsidRPr="00B25A22" w:rsidRDefault="00AA3A5F" w:rsidP="007D69D6">
      <w:pPr>
        <w:pStyle w:val="UZEIOdrky"/>
      </w:pPr>
      <w:r w:rsidRPr="00B25A22">
        <w:t xml:space="preserve">výdaje spojené s pořízením technologií prodlužující trvanlivost produkce nebo </w:t>
      </w:r>
    </w:p>
    <w:p w14:paraId="572835BD" w14:textId="77777777" w:rsidR="00AA3A5F" w:rsidRPr="00B25A22" w:rsidRDefault="00AA3A5F" w:rsidP="007D69D6">
      <w:pPr>
        <w:pStyle w:val="UZEIOdrky"/>
      </w:pPr>
      <w:r w:rsidRPr="00B25A22">
        <w:t>výdaje spojené s certifikací a bezpečností produktů.</w:t>
      </w:r>
    </w:p>
    <w:p w14:paraId="3CA26D0D" w14:textId="77777777" w:rsidR="00AA3A5F" w:rsidRPr="007D69D6" w:rsidRDefault="00AA3A5F" w:rsidP="007D69D6">
      <w:pPr>
        <w:pStyle w:val="UZEINormaln"/>
        <w:rPr>
          <w:b/>
          <w:bCs/>
        </w:rPr>
      </w:pPr>
      <w:r w:rsidRPr="007D69D6">
        <w:rPr>
          <w:b/>
          <w:bCs/>
        </w:rPr>
        <w:t>Opatření č. 3 - Odbyt produkce</w:t>
      </w:r>
    </w:p>
    <w:p w14:paraId="3E3E59F3" w14:textId="77777777" w:rsidR="00AA3A5F" w:rsidRPr="00B25A22" w:rsidRDefault="00AA3A5F" w:rsidP="007D69D6">
      <w:pPr>
        <w:pStyle w:val="UZEINormaln"/>
      </w:pPr>
      <w:r w:rsidRPr="00B25A22">
        <w:t>Akce zaměřené na odbyt produkce:</w:t>
      </w:r>
    </w:p>
    <w:p w14:paraId="790D8B07" w14:textId="77777777" w:rsidR="00AA3A5F" w:rsidRPr="00B25A22" w:rsidRDefault="00AA3A5F" w:rsidP="007D69D6">
      <w:pPr>
        <w:pStyle w:val="UZEIOdrky"/>
      </w:pPr>
      <w:r w:rsidRPr="00B25A22">
        <w:t xml:space="preserve">výdaje spojené s pořízením technologií pro posklizňovou úpravu produkce, </w:t>
      </w:r>
    </w:p>
    <w:p w14:paraId="179B7DE3" w14:textId="77777777" w:rsidR="00AA3A5F" w:rsidRPr="00B25A22" w:rsidRDefault="00AA3A5F" w:rsidP="007D69D6">
      <w:pPr>
        <w:pStyle w:val="UZEIOdrky"/>
      </w:pPr>
      <w:r w:rsidRPr="00B25A22">
        <w:t xml:space="preserve">výdaje spojené s pořízením technologií pro třídění či balení produkce, </w:t>
      </w:r>
    </w:p>
    <w:p w14:paraId="43392822" w14:textId="77777777" w:rsidR="00AA3A5F" w:rsidRPr="00B25A22" w:rsidRDefault="00AA3A5F" w:rsidP="007D69D6">
      <w:pPr>
        <w:pStyle w:val="UZEIOdrky"/>
      </w:pPr>
      <w:r w:rsidRPr="00B25A22">
        <w:t xml:space="preserve">výdaje spojené s úpravou či vybudováním skladovacích a manipulačních prostor, </w:t>
      </w:r>
    </w:p>
    <w:p w14:paraId="02C582D0" w14:textId="77777777" w:rsidR="00AA3A5F" w:rsidRPr="00B25A22" w:rsidRDefault="00AA3A5F" w:rsidP="007D69D6">
      <w:pPr>
        <w:pStyle w:val="UZEIOdrky"/>
      </w:pPr>
      <w:r w:rsidRPr="00B25A22">
        <w:t xml:space="preserve">výdaje spojené s certifikací procesu řízení, </w:t>
      </w:r>
    </w:p>
    <w:p w14:paraId="6E380C99" w14:textId="77777777" w:rsidR="00AA3A5F" w:rsidRPr="00B25A22" w:rsidRDefault="00AA3A5F" w:rsidP="007D69D6">
      <w:pPr>
        <w:pStyle w:val="UZEIOdrky"/>
      </w:pPr>
      <w:r w:rsidRPr="00B25A22">
        <w:t xml:space="preserve">nájem nebo pacht skladovacích a manipulačních prostor jako účelná náhrada výstavby nových skladů, </w:t>
      </w:r>
    </w:p>
    <w:p w14:paraId="77483BC6" w14:textId="77777777" w:rsidR="00AA3A5F" w:rsidRPr="00B25A22" w:rsidRDefault="00AA3A5F" w:rsidP="007D69D6">
      <w:pPr>
        <w:pStyle w:val="UZEIOdrky"/>
      </w:pPr>
      <w:r w:rsidRPr="00B25A22">
        <w:t xml:space="preserve">osobní náklady a investice vyplývající z opatření ke zlepšení úrovně uvádění zboží na trh, </w:t>
      </w:r>
    </w:p>
    <w:p w14:paraId="292A04F4" w14:textId="77777777" w:rsidR="00AA3A5F" w:rsidRPr="00B25A22" w:rsidRDefault="00AA3A5F" w:rsidP="007D69D6">
      <w:pPr>
        <w:pStyle w:val="UZEIOdrky"/>
      </w:pPr>
      <w:r w:rsidRPr="00B25A22">
        <w:t xml:space="preserve">výdaje spojené s aktivním marketingem, </w:t>
      </w:r>
    </w:p>
    <w:p w14:paraId="4C0CDF61" w14:textId="77777777" w:rsidR="00AA3A5F" w:rsidRPr="00B25A22" w:rsidRDefault="00AA3A5F" w:rsidP="007D69D6">
      <w:pPr>
        <w:pStyle w:val="UZEIOdrky"/>
      </w:pPr>
      <w:r w:rsidRPr="00B25A22">
        <w:t xml:space="preserve">osobní náklady vyplývající z opatření ke zvyšování koncentrace nabídky, </w:t>
      </w:r>
    </w:p>
    <w:p w14:paraId="24E264CE" w14:textId="77777777" w:rsidR="00AA3A5F" w:rsidRPr="00B25A22" w:rsidRDefault="00AA3A5F" w:rsidP="007D69D6">
      <w:pPr>
        <w:pStyle w:val="UZEIOdrky"/>
      </w:pPr>
      <w:r w:rsidRPr="00B25A22">
        <w:lastRenderedPageBreak/>
        <w:t xml:space="preserve">výdaje spojené se zvýšením přidané hodnoty produkce, </w:t>
      </w:r>
    </w:p>
    <w:p w14:paraId="1C420123" w14:textId="77777777" w:rsidR="00AA3A5F" w:rsidRPr="00B25A22" w:rsidRDefault="00AA3A5F" w:rsidP="007D69D6">
      <w:pPr>
        <w:pStyle w:val="UZEIOdrky"/>
      </w:pPr>
      <w:r w:rsidRPr="00B25A22">
        <w:t xml:space="preserve">výdaje spojené s propagací obchodní značky organizace producentů, případně sdružení organizací producentů, </w:t>
      </w:r>
    </w:p>
    <w:p w14:paraId="2B326E70" w14:textId="77777777" w:rsidR="00AA3A5F" w:rsidRPr="00B25A22" w:rsidRDefault="00AA3A5F" w:rsidP="007D69D6">
      <w:pPr>
        <w:pStyle w:val="UZEIOdrky"/>
      </w:pPr>
      <w:r w:rsidRPr="00B25A22">
        <w:t xml:space="preserve">výdaje spojené s propagací značek jakosti, </w:t>
      </w:r>
    </w:p>
    <w:p w14:paraId="48C3868B" w14:textId="77777777" w:rsidR="00AA3A5F" w:rsidRPr="00B25A22" w:rsidRDefault="00AA3A5F" w:rsidP="007D69D6">
      <w:pPr>
        <w:pStyle w:val="UZEIOdrky"/>
      </w:pPr>
      <w:r w:rsidRPr="00B25A22">
        <w:t xml:space="preserve">výdaje spojené s propagací správných stravovacích návyků nebo </w:t>
      </w:r>
    </w:p>
    <w:p w14:paraId="6CB8B41C" w14:textId="638D1F6B" w:rsidR="00AA3A5F" w:rsidRPr="007D69D6" w:rsidRDefault="00AA3A5F" w:rsidP="007D69D6">
      <w:pPr>
        <w:pStyle w:val="UZEIOdrky"/>
      </w:pPr>
      <w:r w:rsidRPr="00B25A22">
        <w:t>výdaje spojené se zpracováním vlastní produkce.</w:t>
      </w:r>
    </w:p>
    <w:p w14:paraId="04E27D94" w14:textId="77777777" w:rsidR="00AA3A5F" w:rsidRPr="007D69D6" w:rsidRDefault="00AA3A5F" w:rsidP="007D69D6">
      <w:pPr>
        <w:pStyle w:val="UZEINormaln"/>
        <w:rPr>
          <w:b/>
          <w:bCs/>
        </w:rPr>
      </w:pPr>
      <w:r w:rsidRPr="007D69D6">
        <w:rPr>
          <w:b/>
          <w:bCs/>
        </w:rPr>
        <w:t>Opatření č. 4 - Vzdělávání - školení</w:t>
      </w:r>
    </w:p>
    <w:p w14:paraId="7FF83D5A" w14:textId="77777777" w:rsidR="00AA3A5F" w:rsidRPr="00B25A22" w:rsidRDefault="00AA3A5F" w:rsidP="007D69D6">
      <w:pPr>
        <w:pStyle w:val="UZEINormaln"/>
      </w:pPr>
      <w:r w:rsidRPr="00B25A22">
        <w:t>Akce zaměřené na vzdělávání a školení:</w:t>
      </w:r>
    </w:p>
    <w:p w14:paraId="71569470" w14:textId="77777777" w:rsidR="00AA3A5F" w:rsidRPr="00B25A22" w:rsidRDefault="00AA3A5F" w:rsidP="007D69D6">
      <w:pPr>
        <w:pStyle w:val="UZEIOdrky"/>
      </w:pPr>
      <w:r w:rsidRPr="00B25A22">
        <w:t xml:space="preserve">akce spojené se získáním odborných informací o integrované produkci a ekologickém zemědělství, </w:t>
      </w:r>
    </w:p>
    <w:p w14:paraId="21897883" w14:textId="77777777" w:rsidR="00AA3A5F" w:rsidRPr="00B25A22" w:rsidRDefault="00AA3A5F" w:rsidP="007D69D6">
      <w:pPr>
        <w:pStyle w:val="UZEIOdrky"/>
      </w:pPr>
      <w:r w:rsidRPr="00B25A22">
        <w:t xml:space="preserve">akce spojené se získáním odborných informací o environmentálních tématech, </w:t>
      </w:r>
    </w:p>
    <w:p w14:paraId="31E0FBC1" w14:textId="77777777" w:rsidR="00AA3A5F" w:rsidRPr="00B25A22" w:rsidRDefault="00AA3A5F" w:rsidP="007D69D6">
      <w:pPr>
        <w:pStyle w:val="UZEIOdrky"/>
      </w:pPr>
      <w:r w:rsidRPr="00B25A22">
        <w:t xml:space="preserve">akce spojené se získáním odborných informací o kontrole chorob a škůdců, jakosti produktů, </w:t>
      </w:r>
    </w:p>
    <w:p w14:paraId="1F26DD81" w14:textId="77777777" w:rsidR="00AA3A5F" w:rsidRPr="00B25A22" w:rsidRDefault="00AA3A5F" w:rsidP="007D69D6">
      <w:pPr>
        <w:pStyle w:val="UZEIOdrky"/>
      </w:pPr>
      <w:r w:rsidRPr="00B25A22">
        <w:t xml:space="preserve">akce spojené se získáním odborných informací o dohledatelnosti produktů, </w:t>
      </w:r>
    </w:p>
    <w:p w14:paraId="310C4ECB" w14:textId="77777777" w:rsidR="00AA3A5F" w:rsidRPr="00B25A22" w:rsidRDefault="00AA3A5F" w:rsidP="007D69D6">
      <w:pPr>
        <w:pStyle w:val="UZEIOdrky"/>
      </w:pPr>
      <w:r w:rsidRPr="00B25A22">
        <w:t xml:space="preserve">akce spojené se získáním odborných informací o zlepšení a udržení vysoké kvality produkce nebo </w:t>
      </w:r>
    </w:p>
    <w:p w14:paraId="40378CAD" w14:textId="77777777" w:rsidR="00AA3A5F" w:rsidRPr="00B25A22" w:rsidRDefault="00AA3A5F" w:rsidP="007D69D6">
      <w:pPr>
        <w:pStyle w:val="UZEIOdrky"/>
      </w:pPr>
      <w:r w:rsidRPr="00B25A22">
        <w:t>poradenská činnost k zajištění vysoké kvality produkce.</w:t>
      </w:r>
    </w:p>
    <w:p w14:paraId="2E1C94E7" w14:textId="77777777" w:rsidR="00AA3A5F" w:rsidRPr="007D69D6" w:rsidRDefault="00AA3A5F" w:rsidP="007D69D6">
      <w:pPr>
        <w:pStyle w:val="UZEINormaln"/>
        <w:rPr>
          <w:b/>
          <w:bCs/>
        </w:rPr>
      </w:pPr>
      <w:r w:rsidRPr="007D69D6">
        <w:rPr>
          <w:b/>
          <w:bCs/>
        </w:rPr>
        <w:t>Opatření č. 5 - Předcházení krizím a jejich řešení</w:t>
      </w:r>
    </w:p>
    <w:p w14:paraId="19892368" w14:textId="77777777" w:rsidR="00AA3A5F" w:rsidRPr="007D69D6" w:rsidRDefault="00AA3A5F" w:rsidP="007D69D6">
      <w:pPr>
        <w:pStyle w:val="UZEINormaln"/>
      </w:pPr>
      <w:r w:rsidRPr="007D69D6">
        <w:t>Akce zaměřené na předcházení krizím a jejich řešení:</w:t>
      </w:r>
    </w:p>
    <w:p w14:paraId="3D201D2E" w14:textId="77777777" w:rsidR="00AA3A5F" w:rsidRPr="00B25A22" w:rsidRDefault="00AA3A5F" w:rsidP="007D69D6">
      <w:pPr>
        <w:pStyle w:val="UZEIOdrky"/>
      </w:pPr>
      <w:r w:rsidRPr="00B25A22">
        <w:t xml:space="preserve">výdaje spojené se zajištěním stability podnikatelského prostředí pomocí podpory pojištění do 80 %, </w:t>
      </w:r>
    </w:p>
    <w:p w14:paraId="140C43BB" w14:textId="77777777" w:rsidR="00AA3A5F" w:rsidRPr="00B25A22" w:rsidRDefault="00AA3A5F" w:rsidP="007D69D6">
      <w:pPr>
        <w:pStyle w:val="UZEIOdrky"/>
      </w:pPr>
      <w:r w:rsidRPr="00B25A22">
        <w:t xml:space="preserve">výdaje spojené s propagací ke zvýšení spotřeby ovoce a zeleniny v době využívání opatření související s předcházením krizí, </w:t>
      </w:r>
    </w:p>
    <w:p w14:paraId="358F247E" w14:textId="77777777" w:rsidR="00AA3A5F" w:rsidRPr="00B25A22" w:rsidRDefault="00AA3A5F" w:rsidP="007D69D6">
      <w:pPr>
        <w:pStyle w:val="UZEIOdrky"/>
      </w:pPr>
      <w:r w:rsidRPr="00B25A22">
        <w:t xml:space="preserve">výdaje spojené s opětovnou výsadbou sadů s ohledem na povinné vyklučení ze zdravotních důvodů nebo fytosanitárních důvodů nebo </w:t>
      </w:r>
    </w:p>
    <w:p w14:paraId="4F77BB28" w14:textId="77777777" w:rsidR="00AA3A5F" w:rsidRPr="00B25A22" w:rsidRDefault="00AA3A5F" w:rsidP="007D69D6">
      <w:pPr>
        <w:pStyle w:val="UZEIOdrky"/>
      </w:pPr>
      <w:r w:rsidRPr="00B25A22">
        <w:t>výdaje spojené se stahováním z trhu, se sklízením nezralého ovoce a zeleniny nebo s jejich nesklízením.</w:t>
      </w:r>
    </w:p>
    <w:p w14:paraId="3F53CF03" w14:textId="77777777" w:rsidR="00AA3A5F" w:rsidRPr="007D69D6" w:rsidRDefault="00AA3A5F" w:rsidP="007D69D6">
      <w:pPr>
        <w:pStyle w:val="UZEINormaln"/>
        <w:rPr>
          <w:b/>
          <w:bCs/>
        </w:rPr>
      </w:pPr>
      <w:r w:rsidRPr="007D69D6">
        <w:rPr>
          <w:b/>
          <w:bCs/>
        </w:rPr>
        <w:t>Opatření č. 6 - Environmentální opatření (názvy a číslování jsou pro tato opatření závazná)</w:t>
      </w:r>
    </w:p>
    <w:p w14:paraId="0D398BFF" w14:textId="77777777" w:rsidR="00AA3A5F" w:rsidRPr="00B25A22" w:rsidRDefault="00AA3A5F" w:rsidP="007D69D6">
      <w:pPr>
        <w:pStyle w:val="UZEIOdrky"/>
      </w:pPr>
      <w:r w:rsidRPr="00B25A22">
        <w:t xml:space="preserve">6.1.1 nákup </w:t>
      </w:r>
      <w:proofErr w:type="spellStart"/>
      <w:r w:rsidRPr="00B25A22">
        <w:t>mulčovačů</w:t>
      </w:r>
      <w:proofErr w:type="spellEnd"/>
      <w:r w:rsidRPr="00B25A22">
        <w:t>, drtičů větví</w:t>
      </w:r>
    </w:p>
    <w:p w14:paraId="73BC6A4F" w14:textId="77777777" w:rsidR="00AA3A5F" w:rsidRPr="00B25A22" w:rsidRDefault="00AA3A5F" w:rsidP="007D69D6">
      <w:pPr>
        <w:pStyle w:val="UZEIOdrky"/>
      </w:pPr>
      <w:r w:rsidRPr="00B25A22">
        <w:t>6.2.1 zatravnění sadů</w:t>
      </w:r>
    </w:p>
    <w:p w14:paraId="1E474D24" w14:textId="77777777" w:rsidR="00AA3A5F" w:rsidRPr="00B25A22" w:rsidRDefault="00AA3A5F" w:rsidP="007D69D6">
      <w:pPr>
        <w:pStyle w:val="UZEIOdrky"/>
      </w:pPr>
      <w:r w:rsidRPr="00B25A22">
        <w:t>6.2.2 investice do závlahových zařízení, kromě hlavních závlahových zařízení</w:t>
      </w:r>
    </w:p>
    <w:p w14:paraId="30671C0C" w14:textId="77777777" w:rsidR="00AA3A5F" w:rsidRPr="00B25A22" w:rsidRDefault="00AA3A5F" w:rsidP="007D69D6">
      <w:pPr>
        <w:pStyle w:val="UZEIOdrky"/>
      </w:pPr>
      <w:r w:rsidRPr="00B25A22">
        <w:t>6.3.1 introdukce organizmů pro opylování s výjimkou včel</w:t>
      </w:r>
    </w:p>
    <w:p w14:paraId="7EABB426" w14:textId="77777777" w:rsidR="00AA3A5F" w:rsidRPr="00B25A22" w:rsidRDefault="00AA3A5F" w:rsidP="007D69D6">
      <w:pPr>
        <w:pStyle w:val="UZEIOdrky"/>
      </w:pPr>
      <w:r w:rsidRPr="00B25A22">
        <w:t>6.4.1 výsadby ekologických sadů</w:t>
      </w:r>
    </w:p>
    <w:p w14:paraId="1C2B1410" w14:textId="77777777" w:rsidR="00AA3A5F" w:rsidRPr="00B25A22" w:rsidRDefault="00AA3A5F" w:rsidP="007D69D6">
      <w:pPr>
        <w:pStyle w:val="UZEIOdrky"/>
      </w:pPr>
      <w:r w:rsidRPr="00B25A22">
        <w:t>6.5.1 organizace školení k opatřením Vnitrostátního rámce ČR </w:t>
      </w:r>
    </w:p>
    <w:p w14:paraId="3BAD5FD6" w14:textId="77777777" w:rsidR="00AA3A5F" w:rsidRPr="00B25A22" w:rsidRDefault="00AA3A5F" w:rsidP="007D69D6">
      <w:pPr>
        <w:pStyle w:val="UZEIOdrky"/>
      </w:pPr>
      <w:r w:rsidRPr="00B25A22">
        <w:t>6.6.1 introdukce predátorů a použití biologických metod ochrany</w:t>
      </w:r>
    </w:p>
    <w:p w14:paraId="05426D29" w14:textId="77777777" w:rsidR="00AA3A5F" w:rsidRPr="00B25A22" w:rsidRDefault="00AA3A5F" w:rsidP="007D69D6">
      <w:pPr>
        <w:pStyle w:val="UZEIOdrky"/>
      </w:pPr>
      <w:r w:rsidRPr="00B25A22">
        <w:t>6.6.2 netkané textilie na pokrytí porostu</w:t>
      </w:r>
    </w:p>
    <w:p w14:paraId="60627E42" w14:textId="77777777" w:rsidR="00AA3A5F" w:rsidRPr="00B25A22" w:rsidRDefault="00AA3A5F" w:rsidP="007D69D6">
      <w:pPr>
        <w:pStyle w:val="UZEIOdrky"/>
      </w:pPr>
      <w:r w:rsidRPr="00B25A22">
        <w:t>6.7.1 výměna starých chladicích systémů</w:t>
      </w:r>
      <w:r w:rsidRPr="00B25A22">
        <w:tab/>
      </w:r>
    </w:p>
    <w:p w14:paraId="3D9284F1" w14:textId="5526415D" w:rsidR="00AA3A5F" w:rsidRDefault="00AA3A5F" w:rsidP="007D69D6">
      <w:pPr>
        <w:pStyle w:val="UZEIOdrky"/>
      </w:pPr>
      <w:r w:rsidRPr="00B25A22">
        <w:t>6.7.2 tepelná izolace objektů pro skladování a posklizňovou úpravu</w:t>
      </w:r>
    </w:p>
    <w:p w14:paraId="37A66DD1" w14:textId="77777777" w:rsidR="007D69D6" w:rsidRPr="00B25A22" w:rsidRDefault="007D69D6" w:rsidP="007D69D6">
      <w:pPr>
        <w:pStyle w:val="UZEIOdrky"/>
        <w:numPr>
          <w:ilvl w:val="0"/>
          <w:numId w:val="0"/>
        </w:numPr>
        <w:ind w:left="720"/>
      </w:pPr>
    </w:p>
    <w:p w14:paraId="3902D8A9" w14:textId="0AA0D72B" w:rsidR="00AA3A5F" w:rsidRPr="00B25A22" w:rsidRDefault="007D69D6" w:rsidP="007D69D6">
      <w:pPr>
        <w:pStyle w:val="UZEITaB"/>
      </w:pPr>
      <w:r>
        <w:lastRenderedPageBreak/>
        <w:t xml:space="preserve"> </w:t>
      </w:r>
      <w:bookmarkStart w:id="67" w:name="_Toc81743453"/>
      <w:r w:rsidR="00AA3A5F" w:rsidRPr="00B25A22">
        <w:t>Stanovení maximálních podílů jednotlivých opatření z provozního fondu</w:t>
      </w:r>
      <w:bookmarkEnd w:id="67"/>
    </w:p>
    <w:tbl>
      <w:tblPr>
        <w:tblW w:w="5011" w:type="pct"/>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234"/>
        <w:gridCol w:w="3828"/>
      </w:tblGrid>
      <w:tr w:rsidR="00AA3A5F" w:rsidRPr="00B25A22" w14:paraId="3607A1DD" w14:textId="77777777" w:rsidTr="007A68D5">
        <w:trPr>
          <w:trHeight w:val="57"/>
        </w:trPr>
        <w:tc>
          <w:tcPr>
            <w:tcW w:w="2888" w:type="pct"/>
          </w:tcPr>
          <w:p w14:paraId="3D3E8D55" w14:textId="77777777" w:rsidR="00AA3A5F" w:rsidRPr="00B25A22" w:rsidRDefault="00AA3A5F" w:rsidP="007A68D5">
            <w:pPr>
              <w:tabs>
                <w:tab w:val="left" w:pos="720"/>
                <w:tab w:val="left" w:pos="1080"/>
              </w:tabs>
              <w:spacing w:after="60" w:line="240" w:lineRule="atLeast"/>
              <w:ind w:firstLine="57"/>
              <w:rPr>
                <w:rFonts w:cs="Times New Roman"/>
                <w:sz w:val="20"/>
                <w:szCs w:val="20"/>
                <w:lang w:val="cs-CZ"/>
              </w:rPr>
            </w:pPr>
            <w:r w:rsidRPr="00B25A22">
              <w:rPr>
                <w:rFonts w:cs="Times New Roman"/>
                <w:sz w:val="20"/>
                <w:szCs w:val="20"/>
                <w:lang w:val="cs-CZ"/>
              </w:rPr>
              <w:t xml:space="preserve">          </w:t>
            </w:r>
          </w:p>
        </w:tc>
        <w:tc>
          <w:tcPr>
            <w:tcW w:w="2112" w:type="pct"/>
          </w:tcPr>
          <w:p w14:paraId="23C0C9BA" w14:textId="77777777" w:rsidR="00AA3A5F" w:rsidRPr="00B25A22" w:rsidRDefault="00AA3A5F" w:rsidP="007A68D5">
            <w:pPr>
              <w:tabs>
                <w:tab w:val="left" w:pos="720"/>
                <w:tab w:val="left" w:pos="1080"/>
              </w:tabs>
              <w:spacing w:after="60" w:line="240" w:lineRule="atLeast"/>
              <w:ind w:firstLine="57"/>
              <w:jc w:val="center"/>
              <w:rPr>
                <w:rFonts w:cs="Times New Roman"/>
                <w:b/>
                <w:sz w:val="20"/>
                <w:szCs w:val="20"/>
                <w:lang w:val="cs-CZ"/>
              </w:rPr>
            </w:pPr>
            <w:r w:rsidRPr="00B25A22">
              <w:rPr>
                <w:rFonts w:cs="Times New Roman"/>
                <w:b/>
                <w:sz w:val="20"/>
                <w:szCs w:val="20"/>
                <w:lang w:val="cs-CZ"/>
              </w:rPr>
              <w:t>Max. limit čerpání</w:t>
            </w:r>
          </w:p>
        </w:tc>
      </w:tr>
      <w:tr w:rsidR="00AA3A5F" w:rsidRPr="00B25A22" w14:paraId="650D9E65" w14:textId="77777777" w:rsidTr="007A68D5">
        <w:trPr>
          <w:trHeight w:val="200"/>
        </w:trPr>
        <w:tc>
          <w:tcPr>
            <w:tcW w:w="2888" w:type="pct"/>
          </w:tcPr>
          <w:p w14:paraId="5DD96517" w14:textId="77777777" w:rsidR="00AA3A5F" w:rsidRPr="00B25A22" w:rsidRDefault="00AA3A5F" w:rsidP="007A68D5">
            <w:pPr>
              <w:tabs>
                <w:tab w:val="left" w:pos="720"/>
                <w:tab w:val="left" w:pos="1080"/>
              </w:tabs>
              <w:spacing w:after="60" w:line="240" w:lineRule="atLeast"/>
              <w:ind w:firstLine="57"/>
              <w:rPr>
                <w:rFonts w:cs="Times New Roman"/>
                <w:sz w:val="20"/>
                <w:szCs w:val="20"/>
                <w:lang w:val="cs-CZ"/>
              </w:rPr>
            </w:pPr>
            <w:r w:rsidRPr="00B25A22">
              <w:rPr>
                <w:rFonts w:cs="Times New Roman"/>
                <w:sz w:val="20"/>
                <w:szCs w:val="20"/>
                <w:lang w:val="cs-CZ"/>
              </w:rPr>
              <w:t>Opatření č. 1 – Plánování produkce</w:t>
            </w:r>
          </w:p>
        </w:tc>
        <w:tc>
          <w:tcPr>
            <w:tcW w:w="2112" w:type="pct"/>
          </w:tcPr>
          <w:p w14:paraId="7807F9F8" w14:textId="77777777" w:rsidR="00AA3A5F" w:rsidRPr="00B25A22" w:rsidRDefault="00AA3A5F" w:rsidP="007A68D5">
            <w:pPr>
              <w:tabs>
                <w:tab w:val="left" w:pos="720"/>
                <w:tab w:val="left" w:pos="1080"/>
              </w:tabs>
              <w:spacing w:after="60" w:line="240" w:lineRule="atLeast"/>
              <w:ind w:firstLine="57"/>
              <w:rPr>
                <w:rFonts w:cs="Times New Roman"/>
                <w:sz w:val="20"/>
                <w:szCs w:val="20"/>
                <w:lang w:val="cs-CZ"/>
              </w:rPr>
            </w:pPr>
            <w:r w:rsidRPr="00B25A22">
              <w:rPr>
                <w:rFonts w:cs="Times New Roman"/>
                <w:sz w:val="20"/>
                <w:szCs w:val="20"/>
                <w:lang w:val="cs-CZ"/>
              </w:rPr>
              <w:t>do 60 % celkových výdajů OP</w:t>
            </w:r>
          </w:p>
        </w:tc>
      </w:tr>
      <w:tr w:rsidR="00AA3A5F" w:rsidRPr="00B25A22" w14:paraId="163B5F8B" w14:textId="77777777" w:rsidTr="007A68D5">
        <w:trPr>
          <w:trHeight w:val="57"/>
        </w:trPr>
        <w:tc>
          <w:tcPr>
            <w:tcW w:w="2888" w:type="pct"/>
          </w:tcPr>
          <w:p w14:paraId="568279E8" w14:textId="77777777" w:rsidR="00AA3A5F" w:rsidRPr="00B25A22" w:rsidRDefault="00AA3A5F" w:rsidP="007A68D5">
            <w:pPr>
              <w:tabs>
                <w:tab w:val="left" w:pos="720"/>
                <w:tab w:val="left" w:pos="1080"/>
              </w:tabs>
              <w:spacing w:after="60" w:line="240" w:lineRule="atLeast"/>
              <w:ind w:firstLine="57"/>
              <w:rPr>
                <w:rFonts w:cs="Times New Roman"/>
                <w:sz w:val="20"/>
                <w:szCs w:val="20"/>
                <w:lang w:val="cs-CZ"/>
              </w:rPr>
            </w:pPr>
            <w:r w:rsidRPr="00B25A22">
              <w:rPr>
                <w:rFonts w:cs="Times New Roman"/>
                <w:sz w:val="20"/>
                <w:szCs w:val="20"/>
                <w:lang w:val="cs-CZ"/>
              </w:rPr>
              <w:t>Opatření č. 2 – Kvalita produkce</w:t>
            </w:r>
          </w:p>
        </w:tc>
        <w:tc>
          <w:tcPr>
            <w:tcW w:w="2112" w:type="pct"/>
          </w:tcPr>
          <w:p w14:paraId="668BA4BA" w14:textId="77777777" w:rsidR="00AA3A5F" w:rsidRPr="00B25A22" w:rsidRDefault="00AA3A5F" w:rsidP="007A68D5">
            <w:pPr>
              <w:tabs>
                <w:tab w:val="left" w:pos="720"/>
                <w:tab w:val="left" w:pos="1080"/>
              </w:tabs>
              <w:spacing w:after="60" w:line="240" w:lineRule="atLeast"/>
              <w:ind w:firstLine="57"/>
              <w:rPr>
                <w:rFonts w:cs="Times New Roman"/>
                <w:sz w:val="20"/>
                <w:szCs w:val="20"/>
                <w:lang w:val="cs-CZ"/>
              </w:rPr>
            </w:pPr>
            <w:r w:rsidRPr="00B25A22">
              <w:rPr>
                <w:rFonts w:cs="Times New Roman"/>
                <w:sz w:val="20"/>
                <w:szCs w:val="20"/>
                <w:lang w:val="cs-CZ"/>
              </w:rPr>
              <w:t>do 60 % celkových výdajů OP</w:t>
            </w:r>
          </w:p>
        </w:tc>
      </w:tr>
      <w:tr w:rsidR="00AA3A5F" w:rsidRPr="00B25A22" w14:paraId="717E97CB" w14:textId="77777777" w:rsidTr="007A68D5">
        <w:trPr>
          <w:trHeight w:val="57"/>
        </w:trPr>
        <w:tc>
          <w:tcPr>
            <w:tcW w:w="2888" w:type="pct"/>
          </w:tcPr>
          <w:p w14:paraId="7ECD2784" w14:textId="77777777" w:rsidR="00AA3A5F" w:rsidRPr="00B25A22" w:rsidRDefault="00AA3A5F" w:rsidP="007A68D5">
            <w:pPr>
              <w:tabs>
                <w:tab w:val="left" w:pos="720"/>
                <w:tab w:val="left" w:pos="1080"/>
              </w:tabs>
              <w:spacing w:after="60" w:line="240" w:lineRule="atLeast"/>
              <w:ind w:firstLine="57"/>
              <w:rPr>
                <w:rFonts w:cs="Times New Roman"/>
                <w:sz w:val="20"/>
                <w:szCs w:val="20"/>
                <w:lang w:val="cs-CZ"/>
              </w:rPr>
            </w:pPr>
            <w:r w:rsidRPr="00B25A22">
              <w:rPr>
                <w:rFonts w:cs="Times New Roman"/>
                <w:sz w:val="20"/>
                <w:szCs w:val="20"/>
                <w:lang w:val="cs-CZ"/>
              </w:rPr>
              <w:t>Opatření č. 3 – Odbyt produkce</w:t>
            </w:r>
          </w:p>
        </w:tc>
        <w:tc>
          <w:tcPr>
            <w:tcW w:w="2112" w:type="pct"/>
          </w:tcPr>
          <w:p w14:paraId="1F71F2DC" w14:textId="77777777" w:rsidR="00AA3A5F" w:rsidRPr="00B25A22" w:rsidRDefault="00AA3A5F" w:rsidP="007A68D5">
            <w:pPr>
              <w:tabs>
                <w:tab w:val="left" w:pos="720"/>
                <w:tab w:val="left" w:pos="1080"/>
              </w:tabs>
              <w:spacing w:after="60" w:line="240" w:lineRule="atLeast"/>
              <w:ind w:firstLine="57"/>
              <w:rPr>
                <w:rFonts w:cs="Times New Roman"/>
                <w:sz w:val="20"/>
                <w:szCs w:val="20"/>
                <w:lang w:val="cs-CZ"/>
              </w:rPr>
            </w:pPr>
            <w:r w:rsidRPr="00B25A22">
              <w:rPr>
                <w:rFonts w:cs="Times New Roman"/>
                <w:sz w:val="20"/>
                <w:szCs w:val="20"/>
                <w:lang w:val="cs-CZ"/>
              </w:rPr>
              <w:t>do 60 % celkových výdajů OP</w:t>
            </w:r>
          </w:p>
        </w:tc>
      </w:tr>
      <w:tr w:rsidR="00AA3A5F" w:rsidRPr="00B25A22" w14:paraId="46FF9CD2" w14:textId="77777777" w:rsidTr="007A68D5">
        <w:trPr>
          <w:trHeight w:val="57"/>
        </w:trPr>
        <w:tc>
          <w:tcPr>
            <w:tcW w:w="2888" w:type="pct"/>
          </w:tcPr>
          <w:p w14:paraId="20923797" w14:textId="77777777" w:rsidR="00AA3A5F" w:rsidRPr="00B25A22" w:rsidRDefault="00AA3A5F" w:rsidP="007A68D5">
            <w:pPr>
              <w:tabs>
                <w:tab w:val="left" w:pos="720"/>
                <w:tab w:val="left" w:pos="1080"/>
              </w:tabs>
              <w:spacing w:after="60" w:line="240" w:lineRule="atLeast"/>
              <w:ind w:firstLine="57"/>
              <w:rPr>
                <w:rFonts w:cs="Times New Roman"/>
                <w:sz w:val="20"/>
                <w:szCs w:val="20"/>
                <w:lang w:val="cs-CZ"/>
              </w:rPr>
            </w:pPr>
            <w:r w:rsidRPr="00B25A22">
              <w:rPr>
                <w:rFonts w:cs="Times New Roman"/>
                <w:sz w:val="20"/>
                <w:szCs w:val="20"/>
                <w:lang w:val="cs-CZ"/>
              </w:rPr>
              <w:t>Opatření č. 4 – Vzdělávání</w:t>
            </w:r>
          </w:p>
        </w:tc>
        <w:tc>
          <w:tcPr>
            <w:tcW w:w="2112" w:type="pct"/>
          </w:tcPr>
          <w:p w14:paraId="246B649D" w14:textId="77777777" w:rsidR="00AA3A5F" w:rsidRPr="00B25A22" w:rsidRDefault="00AA3A5F" w:rsidP="007A68D5">
            <w:pPr>
              <w:tabs>
                <w:tab w:val="left" w:pos="720"/>
                <w:tab w:val="left" w:pos="1080"/>
              </w:tabs>
              <w:spacing w:after="60" w:line="240" w:lineRule="atLeast"/>
              <w:ind w:firstLine="57"/>
              <w:rPr>
                <w:rFonts w:cs="Times New Roman"/>
                <w:sz w:val="20"/>
                <w:szCs w:val="20"/>
                <w:lang w:val="cs-CZ"/>
              </w:rPr>
            </w:pPr>
            <w:r w:rsidRPr="00B25A22">
              <w:rPr>
                <w:rFonts w:cs="Times New Roman"/>
                <w:sz w:val="20"/>
                <w:szCs w:val="20"/>
                <w:lang w:val="cs-CZ"/>
              </w:rPr>
              <w:t>do 60 % celkových výdajů OP</w:t>
            </w:r>
          </w:p>
        </w:tc>
      </w:tr>
      <w:tr w:rsidR="00AA3A5F" w:rsidRPr="000703B9" w14:paraId="5175009A" w14:textId="77777777" w:rsidTr="007A68D5">
        <w:trPr>
          <w:trHeight w:val="57"/>
        </w:trPr>
        <w:tc>
          <w:tcPr>
            <w:tcW w:w="2888" w:type="pct"/>
          </w:tcPr>
          <w:p w14:paraId="5730108F" w14:textId="77777777" w:rsidR="00AA3A5F" w:rsidRPr="00B25A22" w:rsidRDefault="00AA3A5F" w:rsidP="007A68D5">
            <w:pPr>
              <w:tabs>
                <w:tab w:val="left" w:pos="720"/>
                <w:tab w:val="left" w:pos="1080"/>
                <w:tab w:val="left" w:pos="1812"/>
              </w:tabs>
              <w:spacing w:line="240" w:lineRule="atLeast"/>
              <w:ind w:firstLine="57"/>
              <w:rPr>
                <w:rFonts w:cs="Times New Roman"/>
                <w:sz w:val="20"/>
                <w:szCs w:val="20"/>
                <w:lang w:val="cs-CZ"/>
              </w:rPr>
            </w:pPr>
            <w:r w:rsidRPr="00B25A22">
              <w:rPr>
                <w:rFonts w:cs="Times New Roman"/>
                <w:sz w:val="20"/>
                <w:szCs w:val="20"/>
                <w:lang w:val="cs-CZ"/>
              </w:rPr>
              <w:t>Opatření č. 5 – Předcházení krizím a jejich řešení</w:t>
            </w:r>
          </w:p>
          <w:p w14:paraId="69F829D8" w14:textId="77777777" w:rsidR="00AA3A5F" w:rsidRPr="00B25A22" w:rsidRDefault="00AA3A5F" w:rsidP="007A68D5">
            <w:pPr>
              <w:tabs>
                <w:tab w:val="left" w:pos="720"/>
                <w:tab w:val="left" w:pos="1080"/>
                <w:tab w:val="left" w:pos="1812"/>
              </w:tabs>
              <w:spacing w:line="240" w:lineRule="atLeast"/>
              <w:ind w:firstLine="57"/>
              <w:rPr>
                <w:rFonts w:cs="Times New Roman"/>
                <w:sz w:val="20"/>
                <w:szCs w:val="20"/>
                <w:lang w:val="cs-CZ"/>
              </w:rPr>
            </w:pPr>
            <w:r w:rsidRPr="00B25A22">
              <w:rPr>
                <w:rFonts w:cs="Times New Roman"/>
                <w:sz w:val="20"/>
                <w:szCs w:val="20"/>
                <w:lang w:val="cs-CZ"/>
              </w:rPr>
              <w:t>z toho:</w:t>
            </w:r>
          </w:p>
          <w:p w14:paraId="706A32E2" w14:textId="77777777" w:rsidR="00AA3A5F" w:rsidRPr="00B25A22" w:rsidRDefault="00AA3A5F" w:rsidP="007A68D5">
            <w:pPr>
              <w:tabs>
                <w:tab w:val="left" w:pos="720"/>
                <w:tab w:val="left" w:pos="1080"/>
                <w:tab w:val="left" w:pos="1812"/>
              </w:tabs>
              <w:spacing w:line="240" w:lineRule="atLeast"/>
              <w:ind w:firstLine="57"/>
              <w:rPr>
                <w:rFonts w:cs="Times New Roman"/>
                <w:sz w:val="20"/>
                <w:szCs w:val="20"/>
                <w:lang w:val="cs-CZ"/>
              </w:rPr>
            </w:pPr>
            <w:r w:rsidRPr="00B25A22">
              <w:rPr>
                <w:rFonts w:cs="Times New Roman"/>
                <w:sz w:val="20"/>
                <w:szCs w:val="20"/>
                <w:lang w:val="cs-CZ"/>
              </w:rPr>
              <w:t>opětovná výsadba po vyklučení</w:t>
            </w:r>
          </w:p>
          <w:p w14:paraId="352F0C20" w14:textId="77777777" w:rsidR="00AA3A5F" w:rsidRPr="00B25A22" w:rsidRDefault="00AA3A5F" w:rsidP="007A68D5">
            <w:pPr>
              <w:tabs>
                <w:tab w:val="left" w:pos="720"/>
                <w:tab w:val="left" w:pos="1080"/>
                <w:tab w:val="left" w:pos="1812"/>
              </w:tabs>
              <w:spacing w:line="240" w:lineRule="atLeast"/>
              <w:ind w:firstLine="57"/>
              <w:rPr>
                <w:rFonts w:cs="Times New Roman"/>
                <w:sz w:val="20"/>
                <w:szCs w:val="20"/>
                <w:lang w:val="cs-CZ"/>
              </w:rPr>
            </w:pPr>
            <w:r w:rsidRPr="00B25A22">
              <w:rPr>
                <w:rFonts w:cs="Times New Roman"/>
                <w:sz w:val="20"/>
                <w:szCs w:val="20"/>
                <w:lang w:val="cs-CZ"/>
              </w:rPr>
              <w:t>Stanoveno podle NEPR (EU) č. 1308/2013, čl. 33.</w:t>
            </w:r>
          </w:p>
        </w:tc>
        <w:tc>
          <w:tcPr>
            <w:tcW w:w="2112" w:type="pct"/>
          </w:tcPr>
          <w:p w14:paraId="68F1038F" w14:textId="77777777" w:rsidR="00AA3A5F" w:rsidRPr="00B25A22" w:rsidRDefault="00AA3A5F" w:rsidP="007A68D5">
            <w:pPr>
              <w:tabs>
                <w:tab w:val="left" w:pos="720"/>
                <w:tab w:val="left" w:pos="1080"/>
              </w:tabs>
              <w:spacing w:after="60" w:line="240" w:lineRule="atLeast"/>
              <w:ind w:firstLine="57"/>
              <w:rPr>
                <w:rFonts w:cs="Times New Roman"/>
                <w:sz w:val="20"/>
                <w:szCs w:val="20"/>
                <w:lang w:val="cs-CZ"/>
              </w:rPr>
            </w:pPr>
            <w:r w:rsidRPr="00B25A22">
              <w:rPr>
                <w:rFonts w:cs="Times New Roman"/>
                <w:sz w:val="20"/>
                <w:szCs w:val="20"/>
                <w:lang w:val="cs-CZ"/>
              </w:rPr>
              <w:t>do 33 % celkových výdajů OP</w:t>
            </w:r>
          </w:p>
          <w:p w14:paraId="01228049" w14:textId="77777777" w:rsidR="00AA3A5F" w:rsidRPr="00B25A22" w:rsidRDefault="00AA3A5F" w:rsidP="007A68D5">
            <w:pPr>
              <w:tabs>
                <w:tab w:val="left" w:pos="720"/>
                <w:tab w:val="left" w:pos="1080"/>
              </w:tabs>
              <w:spacing w:after="60" w:line="240" w:lineRule="atLeast"/>
              <w:ind w:firstLine="57"/>
              <w:rPr>
                <w:rFonts w:cs="Times New Roman"/>
                <w:sz w:val="20"/>
                <w:szCs w:val="20"/>
                <w:lang w:val="cs-CZ"/>
              </w:rPr>
            </w:pPr>
          </w:p>
          <w:p w14:paraId="23A02340" w14:textId="77777777" w:rsidR="00AA3A5F" w:rsidRPr="00B25A22" w:rsidRDefault="00AA3A5F" w:rsidP="007A68D5">
            <w:pPr>
              <w:tabs>
                <w:tab w:val="left" w:pos="720"/>
                <w:tab w:val="left" w:pos="1080"/>
              </w:tabs>
              <w:spacing w:after="60" w:line="240" w:lineRule="atLeast"/>
              <w:ind w:firstLine="57"/>
              <w:rPr>
                <w:rFonts w:cs="Times New Roman"/>
                <w:sz w:val="20"/>
                <w:szCs w:val="20"/>
                <w:lang w:val="cs-CZ"/>
              </w:rPr>
            </w:pPr>
            <w:r w:rsidRPr="00B25A22">
              <w:rPr>
                <w:rFonts w:cs="Times New Roman"/>
                <w:sz w:val="20"/>
                <w:szCs w:val="20"/>
                <w:lang w:val="cs-CZ"/>
              </w:rPr>
              <w:t>do 20 % celkových výdajů OP</w:t>
            </w:r>
          </w:p>
        </w:tc>
      </w:tr>
      <w:tr w:rsidR="00AA3A5F" w:rsidRPr="000703B9" w14:paraId="46C53B16" w14:textId="77777777" w:rsidTr="007A68D5">
        <w:trPr>
          <w:trHeight w:val="57"/>
        </w:trPr>
        <w:tc>
          <w:tcPr>
            <w:tcW w:w="2888" w:type="pct"/>
          </w:tcPr>
          <w:p w14:paraId="10A4FBB0" w14:textId="77777777" w:rsidR="00AA3A5F" w:rsidRPr="00B25A22" w:rsidRDefault="00AA3A5F" w:rsidP="007A68D5">
            <w:pPr>
              <w:tabs>
                <w:tab w:val="left" w:pos="720"/>
                <w:tab w:val="left" w:pos="1080"/>
                <w:tab w:val="left" w:pos="1812"/>
              </w:tabs>
              <w:spacing w:after="60" w:line="240" w:lineRule="atLeast"/>
              <w:ind w:firstLine="57"/>
              <w:rPr>
                <w:rFonts w:cs="Times New Roman"/>
                <w:sz w:val="20"/>
                <w:szCs w:val="20"/>
                <w:lang w:val="cs-CZ"/>
              </w:rPr>
            </w:pPr>
            <w:r w:rsidRPr="00B25A22">
              <w:rPr>
                <w:rFonts w:cs="Times New Roman"/>
                <w:sz w:val="20"/>
                <w:szCs w:val="20"/>
                <w:lang w:val="cs-CZ"/>
              </w:rPr>
              <w:t>Opatření č. 6 – Environmentální opatření</w:t>
            </w:r>
          </w:p>
          <w:p w14:paraId="245841BE" w14:textId="77777777" w:rsidR="00AA3A5F" w:rsidRPr="00B25A22" w:rsidRDefault="00AA3A5F" w:rsidP="007A68D5">
            <w:pPr>
              <w:tabs>
                <w:tab w:val="left" w:pos="720"/>
                <w:tab w:val="left" w:pos="1080"/>
                <w:tab w:val="left" w:pos="1812"/>
              </w:tabs>
              <w:spacing w:line="240" w:lineRule="atLeast"/>
              <w:ind w:firstLine="57"/>
              <w:rPr>
                <w:rFonts w:cs="Times New Roman"/>
                <w:sz w:val="20"/>
                <w:szCs w:val="20"/>
                <w:lang w:val="cs-CZ"/>
              </w:rPr>
            </w:pPr>
            <w:r w:rsidRPr="00B25A22">
              <w:rPr>
                <w:rFonts w:cs="Times New Roman"/>
                <w:sz w:val="20"/>
                <w:szCs w:val="20"/>
                <w:lang w:val="cs-CZ"/>
              </w:rPr>
              <w:t>Stanoveno podle NEPR (EU) č. 1308/2013, čl. 33 odst. 5 a VR schváleného Komisí dne 26. 6. 2015.</w:t>
            </w:r>
          </w:p>
        </w:tc>
        <w:tc>
          <w:tcPr>
            <w:tcW w:w="2112" w:type="pct"/>
          </w:tcPr>
          <w:p w14:paraId="68DECF57" w14:textId="77777777" w:rsidR="00AA3A5F" w:rsidRPr="00B25A22" w:rsidRDefault="00AA3A5F" w:rsidP="007A68D5">
            <w:pPr>
              <w:tabs>
                <w:tab w:val="left" w:pos="720"/>
                <w:tab w:val="left" w:pos="1080"/>
              </w:tabs>
              <w:spacing w:after="60" w:line="240" w:lineRule="atLeast"/>
              <w:ind w:firstLine="57"/>
              <w:rPr>
                <w:rFonts w:cs="Times New Roman"/>
                <w:sz w:val="20"/>
                <w:szCs w:val="20"/>
                <w:lang w:val="cs-CZ"/>
              </w:rPr>
            </w:pPr>
            <w:r w:rsidRPr="00B25A22">
              <w:rPr>
                <w:rFonts w:cs="Times New Roman"/>
                <w:sz w:val="20"/>
                <w:szCs w:val="20"/>
                <w:lang w:val="cs-CZ"/>
              </w:rPr>
              <w:t>min. dvě opatření nebo min. 10 % z celkových výdajů OP</w:t>
            </w:r>
          </w:p>
        </w:tc>
      </w:tr>
      <w:tr w:rsidR="00AA3A5F" w:rsidRPr="00B25A22" w14:paraId="564AEEFA" w14:textId="77777777" w:rsidTr="007A68D5">
        <w:trPr>
          <w:trHeight w:val="57"/>
        </w:trPr>
        <w:tc>
          <w:tcPr>
            <w:tcW w:w="2888" w:type="pct"/>
          </w:tcPr>
          <w:p w14:paraId="177885D9" w14:textId="77777777" w:rsidR="00AA3A5F" w:rsidRPr="00B25A22" w:rsidRDefault="00AA3A5F" w:rsidP="007A68D5">
            <w:pPr>
              <w:tabs>
                <w:tab w:val="left" w:pos="720"/>
                <w:tab w:val="left" w:pos="1080"/>
                <w:tab w:val="left" w:pos="1812"/>
              </w:tabs>
              <w:spacing w:after="60" w:line="240" w:lineRule="atLeast"/>
              <w:ind w:firstLine="57"/>
              <w:rPr>
                <w:rFonts w:cs="Times New Roman"/>
                <w:sz w:val="20"/>
                <w:szCs w:val="20"/>
                <w:lang w:val="cs-CZ"/>
              </w:rPr>
            </w:pPr>
            <w:r w:rsidRPr="00B25A22">
              <w:rPr>
                <w:rFonts w:cs="Times New Roman"/>
                <w:sz w:val="20"/>
                <w:szCs w:val="20"/>
                <w:lang w:val="cs-CZ"/>
              </w:rPr>
              <w:t>Opatření č. 7 – Režijní náklady</w:t>
            </w:r>
          </w:p>
        </w:tc>
        <w:tc>
          <w:tcPr>
            <w:tcW w:w="2112" w:type="pct"/>
          </w:tcPr>
          <w:p w14:paraId="05B39AEB" w14:textId="77777777" w:rsidR="00AA3A5F" w:rsidRPr="00B25A22" w:rsidRDefault="00AA3A5F" w:rsidP="007A68D5">
            <w:pPr>
              <w:tabs>
                <w:tab w:val="left" w:pos="720"/>
                <w:tab w:val="left" w:pos="1080"/>
              </w:tabs>
              <w:spacing w:after="60" w:line="240" w:lineRule="atLeast"/>
              <w:ind w:firstLine="57"/>
              <w:rPr>
                <w:rFonts w:cs="Times New Roman"/>
                <w:sz w:val="20"/>
                <w:szCs w:val="20"/>
                <w:lang w:val="cs-CZ"/>
              </w:rPr>
            </w:pPr>
            <w:r w:rsidRPr="00B25A22">
              <w:rPr>
                <w:rFonts w:cs="Times New Roman"/>
                <w:sz w:val="20"/>
                <w:szCs w:val="20"/>
                <w:lang w:val="cs-CZ"/>
              </w:rPr>
              <w:t>do 2 % celkových výdajů</w:t>
            </w:r>
          </w:p>
        </w:tc>
      </w:tr>
    </w:tbl>
    <w:p w14:paraId="13BEE336" w14:textId="77777777" w:rsidR="00AA3A5F" w:rsidRPr="00B25A22" w:rsidRDefault="00AA3A5F" w:rsidP="007D69D6">
      <w:pPr>
        <w:pStyle w:val="UZEIZdroj"/>
      </w:pPr>
      <w:r w:rsidRPr="00B25A22">
        <w:t>Poznámka:</w:t>
      </w:r>
      <w:r w:rsidRPr="00B25A22">
        <w:tab/>
        <w:t>limit v % se vztahuje na čerpání výdajových položek v rámci operačního programu pro jednotlivé organizace producentů po dobu trvání jejich operačního programu</w:t>
      </w:r>
    </w:p>
    <w:p w14:paraId="1D1F41CC" w14:textId="77777777" w:rsidR="00AA3A5F" w:rsidRPr="007D69D6" w:rsidRDefault="00AA3A5F" w:rsidP="007D69D6">
      <w:pPr>
        <w:pStyle w:val="UZEINormaln"/>
        <w:rPr>
          <w:b/>
          <w:bCs/>
        </w:rPr>
      </w:pPr>
      <w:r w:rsidRPr="007D69D6">
        <w:rPr>
          <w:b/>
          <w:bCs/>
        </w:rPr>
        <w:t>Opatření č. 7.1 – Režijní náklady</w:t>
      </w:r>
    </w:p>
    <w:p w14:paraId="532BE4E8" w14:textId="77777777" w:rsidR="00AA3A5F" w:rsidRPr="00B25A22" w:rsidRDefault="00AA3A5F" w:rsidP="007D69D6">
      <w:pPr>
        <w:pStyle w:val="UZEIOdrky"/>
      </w:pPr>
      <w:r w:rsidRPr="00B25A22">
        <w:t>režijní náklady – standardní paušální částka do výše 2 % provozního fondu schváleného podle čl. 64 (nařízení Komise 543/2011, v platném znění) a do maximální výše 180 000 EUR.</w:t>
      </w:r>
    </w:p>
    <w:p w14:paraId="55F98227" w14:textId="77777777" w:rsidR="00AA3A5F" w:rsidRPr="007D69D6" w:rsidRDefault="00AA3A5F" w:rsidP="007D69D6">
      <w:pPr>
        <w:pStyle w:val="UZEINormaln"/>
        <w:rPr>
          <w:b/>
          <w:bCs/>
        </w:rPr>
      </w:pPr>
      <w:r w:rsidRPr="007D69D6">
        <w:rPr>
          <w:b/>
          <w:bCs/>
        </w:rPr>
        <w:t>Využívání jednotlivých opatření operačních programů v předchozích obdobích</w:t>
      </w:r>
    </w:p>
    <w:p w14:paraId="60030542" w14:textId="20EA304F" w:rsidR="00AA3A5F" w:rsidRPr="00B25A22" w:rsidRDefault="007D69D6" w:rsidP="007D69D6">
      <w:pPr>
        <w:pStyle w:val="UZEITaB"/>
      </w:pPr>
      <w:r>
        <w:t xml:space="preserve"> </w:t>
      </w:r>
      <w:bookmarkStart w:id="68" w:name="_Toc81743454"/>
      <w:r w:rsidR="00AA3A5F" w:rsidRPr="00B25A22">
        <w:t>Uplatňované výdaje za všechny organizace producentů v jednotlivých letech (tis. Kč)</w:t>
      </w:r>
      <w:bookmarkEnd w:id="68"/>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2"/>
        <w:gridCol w:w="344"/>
        <w:gridCol w:w="1136"/>
        <w:gridCol w:w="251"/>
        <w:gridCol w:w="1027"/>
        <w:gridCol w:w="510"/>
        <w:gridCol w:w="769"/>
        <w:gridCol w:w="769"/>
        <w:gridCol w:w="510"/>
        <w:gridCol w:w="1027"/>
        <w:gridCol w:w="253"/>
        <w:gridCol w:w="1284"/>
      </w:tblGrid>
      <w:tr w:rsidR="00AA3A5F" w:rsidRPr="007D69D6" w14:paraId="2D734D54" w14:textId="77777777" w:rsidTr="007A68D5">
        <w:trPr>
          <w:trHeight w:val="300"/>
        </w:trPr>
        <w:tc>
          <w:tcPr>
            <w:tcW w:w="643" w:type="pct"/>
            <w:shd w:val="clear" w:color="auto" w:fill="auto"/>
            <w:noWrap/>
            <w:vAlign w:val="bottom"/>
          </w:tcPr>
          <w:p w14:paraId="6EED8ED0" w14:textId="77777777" w:rsidR="00AA3A5F" w:rsidRPr="007D69D6" w:rsidRDefault="00AA3A5F" w:rsidP="007A68D5">
            <w:pPr>
              <w:jc w:val="left"/>
              <w:rPr>
                <w:rFonts w:cs="Times New Roman"/>
                <w:color w:val="000000"/>
                <w:sz w:val="20"/>
                <w:szCs w:val="20"/>
                <w:lang w:val="cs-CZ"/>
              </w:rPr>
            </w:pPr>
          </w:p>
        </w:tc>
        <w:tc>
          <w:tcPr>
            <w:tcW w:w="957" w:type="pct"/>
            <w:gridSpan w:val="3"/>
            <w:shd w:val="clear" w:color="auto" w:fill="auto"/>
            <w:noWrap/>
            <w:vAlign w:val="bottom"/>
          </w:tcPr>
          <w:p w14:paraId="2A8CB999" w14:textId="77777777" w:rsidR="00AA3A5F" w:rsidRPr="007D69D6" w:rsidRDefault="00AA3A5F" w:rsidP="007A68D5">
            <w:pPr>
              <w:jc w:val="center"/>
              <w:rPr>
                <w:rFonts w:cs="Times New Roman"/>
                <w:b/>
                <w:bCs/>
                <w:color w:val="000000"/>
                <w:sz w:val="20"/>
                <w:szCs w:val="20"/>
                <w:lang w:val="cs-CZ"/>
              </w:rPr>
            </w:pPr>
          </w:p>
        </w:tc>
        <w:tc>
          <w:tcPr>
            <w:tcW w:w="850" w:type="pct"/>
            <w:gridSpan w:val="2"/>
            <w:shd w:val="clear" w:color="auto" w:fill="auto"/>
            <w:noWrap/>
            <w:vAlign w:val="bottom"/>
          </w:tcPr>
          <w:p w14:paraId="73B8FC1E" w14:textId="77777777" w:rsidR="00AA3A5F" w:rsidRPr="007D69D6" w:rsidRDefault="00AA3A5F" w:rsidP="007A68D5">
            <w:pPr>
              <w:jc w:val="center"/>
              <w:rPr>
                <w:rFonts w:cs="Times New Roman"/>
                <w:b/>
                <w:bCs/>
                <w:color w:val="000000"/>
                <w:sz w:val="20"/>
                <w:szCs w:val="20"/>
                <w:lang w:val="cs-CZ"/>
              </w:rPr>
            </w:pPr>
          </w:p>
        </w:tc>
        <w:tc>
          <w:tcPr>
            <w:tcW w:w="850" w:type="pct"/>
            <w:gridSpan w:val="2"/>
            <w:shd w:val="clear" w:color="auto" w:fill="auto"/>
            <w:noWrap/>
            <w:vAlign w:val="bottom"/>
          </w:tcPr>
          <w:p w14:paraId="1AAD0D6D" w14:textId="77777777" w:rsidR="00AA3A5F" w:rsidRPr="007D69D6" w:rsidRDefault="00AA3A5F" w:rsidP="007A68D5">
            <w:pPr>
              <w:jc w:val="center"/>
              <w:rPr>
                <w:rFonts w:cs="Times New Roman"/>
                <w:b/>
                <w:bCs/>
                <w:color w:val="000000"/>
                <w:sz w:val="20"/>
                <w:szCs w:val="20"/>
                <w:lang w:val="cs-CZ"/>
              </w:rPr>
            </w:pPr>
          </w:p>
        </w:tc>
        <w:tc>
          <w:tcPr>
            <w:tcW w:w="850" w:type="pct"/>
            <w:gridSpan w:val="2"/>
            <w:shd w:val="clear" w:color="auto" w:fill="auto"/>
            <w:noWrap/>
            <w:vAlign w:val="bottom"/>
          </w:tcPr>
          <w:p w14:paraId="7BE8D241" w14:textId="77777777" w:rsidR="00AA3A5F" w:rsidRPr="007D69D6" w:rsidRDefault="00AA3A5F" w:rsidP="007A68D5">
            <w:pPr>
              <w:jc w:val="center"/>
              <w:rPr>
                <w:rFonts w:cs="Times New Roman"/>
                <w:b/>
                <w:bCs/>
                <w:color w:val="000000"/>
                <w:sz w:val="20"/>
                <w:szCs w:val="20"/>
                <w:lang w:val="cs-CZ"/>
              </w:rPr>
            </w:pPr>
          </w:p>
        </w:tc>
        <w:tc>
          <w:tcPr>
            <w:tcW w:w="850" w:type="pct"/>
            <w:gridSpan w:val="2"/>
            <w:shd w:val="clear" w:color="auto" w:fill="auto"/>
            <w:noWrap/>
            <w:vAlign w:val="bottom"/>
          </w:tcPr>
          <w:p w14:paraId="2DD708A4" w14:textId="77777777" w:rsidR="00AA3A5F" w:rsidRPr="007D69D6" w:rsidRDefault="00AA3A5F" w:rsidP="007A68D5">
            <w:pPr>
              <w:jc w:val="center"/>
              <w:rPr>
                <w:rFonts w:cs="Times New Roman"/>
                <w:b/>
                <w:bCs/>
                <w:color w:val="000000"/>
                <w:sz w:val="20"/>
                <w:szCs w:val="20"/>
                <w:lang w:val="cs-CZ"/>
              </w:rPr>
            </w:pPr>
          </w:p>
        </w:tc>
      </w:tr>
      <w:tr w:rsidR="00AA3A5F" w:rsidRPr="007D69D6" w14:paraId="59A5407D" w14:textId="77777777" w:rsidTr="007A68D5">
        <w:trPr>
          <w:trHeight w:val="300"/>
        </w:trPr>
        <w:tc>
          <w:tcPr>
            <w:tcW w:w="643" w:type="pct"/>
            <w:shd w:val="clear" w:color="auto" w:fill="auto"/>
            <w:noWrap/>
            <w:vAlign w:val="bottom"/>
          </w:tcPr>
          <w:p w14:paraId="3B6A4983" w14:textId="77777777" w:rsidR="00AA3A5F" w:rsidRPr="007D69D6" w:rsidRDefault="00AA3A5F" w:rsidP="007A68D5">
            <w:pPr>
              <w:jc w:val="left"/>
              <w:rPr>
                <w:rFonts w:cs="Times New Roman"/>
                <w:b/>
                <w:bCs/>
                <w:color w:val="000000"/>
                <w:sz w:val="20"/>
                <w:szCs w:val="20"/>
                <w:lang w:val="cs-CZ"/>
              </w:rPr>
            </w:pPr>
          </w:p>
        </w:tc>
        <w:tc>
          <w:tcPr>
            <w:tcW w:w="957" w:type="pct"/>
            <w:gridSpan w:val="3"/>
            <w:shd w:val="clear" w:color="auto" w:fill="auto"/>
            <w:noWrap/>
            <w:vAlign w:val="bottom"/>
          </w:tcPr>
          <w:p w14:paraId="7792F0B1"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5B28A8CA"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41E03C34"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5272632B"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09533F04" w14:textId="77777777" w:rsidR="00AA3A5F" w:rsidRPr="007D69D6" w:rsidRDefault="00AA3A5F" w:rsidP="007A68D5">
            <w:pPr>
              <w:ind w:hanging="527"/>
              <w:jc w:val="left"/>
              <w:rPr>
                <w:rFonts w:cs="Times New Roman"/>
                <w:color w:val="000000"/>
                <w:sz w:val="20"/>
                <w:szCs w:val="20"/>
                <w:lang w:val="cs-CZ"/>
              </w:rPr>
            </w:pPr>
          </w:p>
        </w:tc>
      </w:tr>
      <w:tr w:rsidR="00AA3A5F" w:rsidRPr="007D69D6" w14:paraId="0FCFD5F0" w14:textId="77777777" w:rsidTr="007A68D5">
        <w:trPr>
          <w:trHeight w:val="300"/>
        </w:trPr>
        <w:tc>
          <w:tcPr>
            <w:tcW w:w="643" w:type="pct"/>
            <w:shd w:val="clear" w:color="auto" w:fill="auto"/>
            <w:noWrap/>
            <w:vAlign w:val="bottom"/>
          </w:tcPr>
          <w:p w14:paraId="33A7D28E" w14:textId="77777777" w:rsidR="00AA3A5F" w:rsidRPr="007D69D6" w:rsidRDefault="00AA3A5F" w:rsidP="007A68D5">
            <w:pPr>
              <w:jc w:val="left"/>
              <w:rPr>
                <w:rFonts w:cs="Times New Roman"/>
                <w:b/>
                <w:bCs/>
                <w:color w:val="000000"/>
                <w:sz w:val="20"/>
                <w:szCs w:val="20"/>
                <w:lang w:val="cs-CZ"/>
              </w:rPr>
            </w:pPr>
          </w:p>
        </w:tc>
        <w:tc>
          <w:tcPr>
            <w:tcW w:w="957" w:type="pct"/>
            <w:gridSpan w:val="3"/>
            <w:shd w:val="clear" w:color="auto" w:fill="auto"/>
            <w:noWrap/>
            <w:vAlign w:val="bottom"/>
          </w:tcPr>
          <w:p w14:paraId="48454E94"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25E45810"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44131E8D"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2C87DEAA"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7375F89F" w14:textId="77777777" w:rsidR="00AA3A5F" w:rsidRPr="007D69D6" w:rsidRDefault="00AA3A5F" w:rsidP="007A68D5">
            <w:pPr>
              <w:ind w:hanging="527"/>
              <w:jc w:val="left"/>
              <w:rPr>
                <w:rFonts w:cs="Times New Roman"/>
                <w:color w:val="000000"/>
                <w:sz w:val="20"/>
                <w:szCs w:val="20"/>
                <w:lang w:val="cs-CZ"/>
              </w:rPr>
            </w:pPr>
          </w:p>
        </w:tc>
      </w:tr>
      <w:tr w:rsidR="00AA3A5F" w:rsidRPr="007D69D6" w14:paraId="24B03AA2" w14:textId="77777777" w:rsidTr="007A68D5">
        <w:trPr>
          <w:trHeight w:val="300"/>
        </w:trPr>
        <w:tc>
          <w:tcPr>
            <w:tcW w:w="643" w:type="pct"/>
            <w:shd w:val="clear" w:color="auto" w:fill="auto"/>
            <w:noWrap/>
            <w:vAlign w:val="bottom"/>
          </w:tcPr>
          <w:p w14:paraId="334F1A80" w14:textId="77777777" w:rsidR="00AA3A5F" w:rsidRPr="007D69D6" w:rsidRDefault="00AA3A5F" w:rsidP="007A68D5">
            <w:pPr>
              <w:jc w:val="left"/>
              <w:rPr>
                <w:rFonts w:cs="Times New Roman"/>
                <w:b/>
                <w:bCs/>
                <w:color w:val="000000"/>
                <w:sz w:val="20"/>
                <w:szCs w:val="20"/>
                <w:lang w:val="cs-CZ"/>
              </w:rPr>
            </w:pPr>
          </w:p>
        </w:tc>
        <w:tc>
          <w:tcPr>
            <w:tcW w:w="957" w:type="pct"/>
            <w:gridSpan w:val="3"/>
            <w:shd w:val="clear" w:color="auto" w:fill="auto"/>
            <w:noWrap/>
            <w:vAlign w:val="bottom"/>
          </w:tcPr>
          <w:p w14:paraId="7CB870D2"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4ACD1DB4"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39F94E25"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2C37AD6C"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6F04C2C0" w14:textId="77777777" w:rsidR="00AA3A5F" w:rsidRPr="007D69D6" w:rsidRDefault="00AA3A5F" w:rsidP="007A68D5">
            <w:pPr>
              <w:ind w:hanging="527"/>
              <w:jc w:val="left"/>
              <w:rPr>
                <w:rFonts w:cs="Times New Roman"/>
                <w:color w:val="000000"/>
                <w:sz w:val="20"/>
                <w:szCs w:val="20"/>
                <w:lang w:val="cs-CZ"/>
              </w:rPr>
            </w:pPr>
          </w:p>
        </w:tc>
      </w:tr>
      <w:tr w:rsidR="00AA3A5F" w:rsidRPr="007D69D6" w14:paraId="7CCBA2C0" w14:textId="77777777" w:rsidTr="007A68D5">
        <w:trPr>
          <w:trHeight w:val="300"/>
        </w:trPr>
        <w:tc>
          <w:tcPr>
            <w:tcW w:w="643" w:type="pct"/>
            <w:shd w:val="clear" w:color="auto" w:fill="auto"/>
            <w:noWrap/>
            <w:vAlign w:val="bottom"/>
          </w:tcPr>
          <w:p w14:paraId="17C62E7F" w14:textId="77777777" w:rsidR="00AA3A5F" w:rsidRPr="007D69D6" w:rsidRDefault="00AA3A5F" w:rsidP="007A68D5">
            <w:pPr>
              <w:jc w:val="left"/>
              <w:rPr>
                <w:rFonts w:cs="Times New Roman"/>
                <w:b/>
                <w:bCs/>
                <w:color w:val="000000"/>
                <w:sz w:val="20"/>
                <w:szCs w:val="20"/>
                <w:lang w:val="cs-CZ"/>
              </w:rPr>
            </w:pPr>
          </w:p>
        </w:tc>
        <w:tc>
          <w:tcPr>
            <w:tcW w:w="957" w:type="pct"/>
            <w:gridSpan w:val="3"/>
            <w:shd w:val="clear" w:color="auto" w:fill="auto"/>
            <w:noWrap/>
            <w:vAlign w:val="bottom"/>
          </w:tcPr>
          <w:p w14:paraId="28F28937"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7B86DCF7"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7FD7F5B3"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1AF9CB8A"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7C023C2E" w14:textId="77777777" w:rsidR="00AA3A5F" w:rsidRPr="007D69D6" w:rsidRDefault="00AA3A5F" w:rsidP="007A68D5">
            <w:pPr>
              <w:ind w:hanging="527"/>
              <w:jc w:val="left"/>
              <w:rPr>
                <w:rFonts w:cs="Times New Roman"/>
                <w:color w:val="000000"/>
                <w:sz w:val="20"/>
                <w:szCs w:val="20"/>
                <w:lang w:val="cs-CZ"/>
              </w:rPr>
            </w:pPr>
          </w:p>
        </w:tc>
      </w:tr>
      <w:tr w:rsidR="00AA3A5F" w:rsidRPr="007D69D6" w14:paraId="353AFF5A" w14:textId="77777777" w:rsidTr="007A68D5">
        <w:trPr>
          <w:trHeight w:val="300"/>
        </w:trPr>
        <w:tc>
          <w:tcPr>
            <w:tcW w:w="643" w:type="pct"/>
            <w:shd w:val="clear" w:color="auto" w:fill="auto"/>
            <w:noWrap/>
            <w:vAlign w:val="bottom"/>
          </w:tcPr>
          <w:p w14:paraId="2B2F8B46" w14:textId="77777777" w:rsidR="00AA3A5F" w:rsidRPr="007D69D6" w:rsidRDefault="00AA3A5F" w:rsidP="007A68D5">
            <w:pPr>
              <w:jc w:val="left"/>
              <w:rPr>
                <w:rFonts w:cs="Times New Roman"/>
                <w:b/>
                <w:bCs/>
                <w:color w:val="000000"/>
                <w:sz w:val="20"/>
                <w:szCs w:val="20"/>
                <w:lang w:val="cs-CZ"/>
              </w:rPr>
            </w:pPr>
          </w:p>
        </w:tc>
        <w:tc>
          <w:tcPr>
            <w:tcW w:w="957" w:type="pct"/>
            <w:gridSpan w:val="3"/>
            <w:shd w:val="clear" w:color="auto" w:fill="auto"/>
            <w:noWrap/>
            <w:vAlign w:val="bottom"/>
          </w:tcPr>
          <w:p w14:paraId="59FEC914"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1E74FD81"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092DED4C"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41F52F43"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7622EF15" w14:textId="77777777" w:rsidR="00AA3A5F" w:rsidRPr="007D69D6" w:rsidRDefault="00AA3A5F" w:rsidP="007A68D5">
            <w:pPr>
              <w:ind w:hanging="527"/>
              <w:jc w:val="left"/>
              <w:rPr>
                <w:rFonts w:cs="Times New Roman"/>
                <w:color w:val="000000"/>
                <w:sz w:val="20"/>
                <w:szCs w:val="20"/>
                <w:lang w:val="cs-CZ"/>
              </w:rPr>
            </w:pPr>
          </w:p>
        </w:tc>
      </w:tr>
      <w:tr w:rsidR="00AA3A5F" w:rsidRPr="007D69D6" w14:paraId="714C5EFF" w14:textId="77777777" w:rsidTr="007A68D5">
        <w:trPr>
          <w:trHeight w:val="300"/>
        </w:trPr>
        <w:tc>
          <w:tcPr>
            <w:tcW w:w="643" w:type="pct"/>
            <w:shd w:val="clear" w:color="auto" w:fill="auto"/>
            <w:noWrap/>
            <w:vAlign w:val="bottom"/>
          </w:tcPr>
          <w:p w14:paraId="3362E9F3" w14:textId="77777777" w:rsidR="00AA3A5F" w:rsidRPr="007D69D6" w:rsidRDefault="00AA3A5F" w:rsidP="007A68D5">
            <w:pPr>
              <w:jc w:val="left"/>
              <w:rPr>
                <w:rFonts w:cs="Times New Roman"/>
                <w:b/>
                <w:bCs/>
                <w:color w:val="000000"/>
                <w:sz w:val="20"/>
                <w:szCs w:val="20"/>
                <w:lang w:val="cs-CZ"/>
              </w:rPr>
            </w:pPr>
          </w:p>
        </w:tc>
        <w:tc>
          <w:tcPr>
            <w:tcW w:w="957" w:type="pct"/>
            <w:gridSpan w:val="3"/>
            <w:shd w:val="clear" w:color="auto" w:fill="auto"/>
            <w:noWrap/>
            <w:vAlign w:val="bottom"/>
          </w:tcPr>
          <w:p w14:paraId="74B5E957"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01C59530"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13F8F92E"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517C09AB"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1E8BB931" w14:textId="77777777" w:rsidR="00AA3A5F" w:rsidRPr="007D69D6" w:rsidRDefault="00AA3A5F" w:rsidP="007A68D5">
            <w:pPr>
              <w:ind w:hanging="527"/>
              <w:jc w:val="left"/>
              <w:rPr>
                <w:rFonts w:cs="Times New Roman"/>
                <w:color w:val="000000"/>
                <w:sz w:val="20"/>
                <w:szCs w:val="20"/>
                <w:lang w:val="cs-CZ"/>
              </w:rPr>
            </w:pPr>
          </w:p>
        </w:tc>
      </w:tr>
      <w:tr w:rsidR="00AA3A5F" w:rsidRPr="007D69D6" w14:paraId="66A24EC6" w14:textId="77777777" w:rsidTr="007A68D5">
        <w:trPr>
          <w:trHeight w:val="300"/>
        </w:trPr>
        <w:tc>
          <w:tcPr>
            <w:tcW w:w="643" w:type="pct"/>
            <w:shd w:val="clear" w:color="auto" w:fill="auto"/>
            <w:noWrap/>
            <w:vAlign w:val="bottom"/>
          </w:tcPr>
          <w:p w14:paraId="19E54072" w14:textId="77777777" w:rsidR="00AA3A5F" w:rsidRPr="007D69D6" w:rsidRDefault="00AA3A5F" w:rsidP="007A68D5">
            <w:pPr>
              <w:jc w:val="left"/>
              <w:rPr>
                <w:rFonts w:cs="Times New Roman"/>
                <w:b/>
                <w:bCs/>
                <w:color w:val="000000"/>
                <w:sz w:val="20"/>
                <w:szCs w:val="20"/>
                <w:lang w:val="cs-CZ"/>
              </w:rPr>
            </w:pPr>
          </w:p>
        </w:tc>
        <w:tc>
          <w:tcPr>
            <w:tcW w:w="957" w:type="pct"/>
            <w:gridSpan w:val="3"/>
            <w:shd w:val="clear" w:color="auto" w:fill="auto"/>
            <w:noWrap/>
            <w:vAlign w:val="bottom"/>
          </w:tcPr>
          <w:p w14:paraId="0AE606CC"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359F681F"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3F6A46F4"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6B30C260"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489DBE82" w14:textId="77777777" w:rsidR="00AA3A5F" w:rsidRPr="007D69D6" w:rsidRDefault="00AA3A5F" w:rsidP="007A68D5">
            <w:pPr>
              <w:ind w:hanging="527"/>
              <w:jc w:val="left"/>
              <w:rPr>
                <w:rFonts w:cs="Times New Roman"/>
                <w:color w:val="000000"/>
                <w:sz w:val="20"/>
                <w:szCs w:val="20"/>
                <w:lang w:val="cs-CZ"/>
              </w:rPr>
            </w:pPr>
          </w:p>
        </w:tc>
      </w:tr>
      <w:tr w:rsidR="00AA3A5F" w:rsidRPr="007D69D6" w14:paraId="1172003F" w14:textId="77777777" w:rsidTr="007A68D5">
        <w:trPr>
          <w:trHeight w:val="300"/>
        </w:trPr>
        <w:tc>
          <w:tcPr>
            <w:tcW w:w="643" w:type="pct"/>
            <w:shd w:val="clear" w:color="auto" w:fill="auto"/>
            <w:noWrap/>
            <w:vAlign w:val="bottom"/>
          </w:tcPr>
          <w:p w14:paraId="7BB5020E" w14:textId="77777777" w:rsidR="00AA3A5F" w:rsidRPr="007D69D6" w:rsidRDefault="00AA3A5F" w:rsidP="007A68D5">
            <w:pPr>
              <w:jc w:val="left"/>
              <w:rPr>
                <w:rFonts w:cs="Times New Roman"/>
                <w:b/>
                <w:bCs/>
                <w:color w:val="000000"/>
                <w:sz w:val="20"/>
                <w:szCs w:val="20"/>
                <w:lang w:val="cs-CZ"/>
              </w:rPr>
            </w:pPr>
          </w:p>
        </w:tc>
        <w:tc>
          <w:tcPr>
            <w:tcW w:w="957" w:type="pct"/>
            <w:gridSpan w:val="3"/>
            <w:shd w:val="clear" w:color="auto" w:fill="auto"/>
            <w:noWrap/>
            <w:vAlign w:val="bottom"/>
          </w:tcPr>
          <w:p w14:paraId="6A1CC427"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6C9DE9C0"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011D65F0"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5FDC4CFA" w14:textId="77777777" w:rsidR="00AA3A5F" w:rsidRPr="007D69D6" w:rsidRDefault="00AA3A5F" w:rsidP="007A68D5">
            <w:pPr>
              <w:ind w:hanging="527"/>
              <w:jc w:val="left"/>
              <w:rPr>
                <w:rFonts w:cs="Times New Roman"/>
                <w:color w:val="000000"/>
                <w:sz w:val="20"/>
                <w:szCs w:val="20"/>
                <w:lang w:val="cs-CZ"/>
              </w:rPr>
            </w:pPr>
          </w:p>
        </w:tc>
        <w:tc>
          <w:tcPr>
            <w:tcW w:w="850" w:type="pct"/>
            <w:gridSpan w:val="2"/>
            <w:shd w:val="clear" w:color="auto" w:fill="auto"/>
            <w:noWrap/>
            <w:vAlign w:val="bottom"/>
          </w:tcPr>
          <w:p w14:paraId="2181F3C8" w14:textId="77777777" w:rsidR="00AA3A5F" w:rsidRPr="007D69D6" w:rsidRDefault="00AA3A5F" w:rsidP="007A68D5">
            <w:pPr>
              <w:ind w:hanging="527"/>
              <w:jc w:val="left"/>
              <w:rPr>
                <w:rFonts w:cs="Times New Roman"/>
                <w:color w:val="000000"/>
                <w:sz w:val="20"/>
                <w:szCs w:val="20"/>
                <w:lang w:val="cs-CZ"/>
              </w:rPr>
            </w:pPr>
          </w:p>
        </w:tc>
      </w:tr>
      <w:tr w:rsidR="00AA3A5F" w:rsidRPr="007D69D6" w14:paraId="718A5EBF" w14:textId="77777777" w:rsidTr="007A68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833" w:type="pct"/>
            <w:gridSpan w:val="2"/>
            <w:vMerge w:val="restart"/>
            <w:tcBorders>
              <w:top w:val="single" w:sz="12" w:space="0" w:color="auto"/>
              <w:left w:val="single" w:sz="12" w:space="0" w:color="auto"/>
              <w:bottom w:val="single" w:sz="8" w:space="0" w:color="000000"/>
              <w:right w:val="single" w:sz="4" w:space="0" w:color="auto"/>
            </w:tcBorders>
            <w:shd w:val="clear" w:color="auto" w:fill="auto"/>
            <w:noWrap/>
            <w:vAlign w:val="center"/>
            <w:hideMark/>
          </w:tcPr>
          <w:p w14:paraId="5D803A64" w14:textId="77777777" w:rsidR="00AA3A5F" w:rsidRPr="007D69D6" w:rsidRDefault="00AA3A5F" w:rsidP="007A68D5">
            <w:pPr>
              <w:jc w:val="center"/>
              <w:rPr>
                <w:rFonts w:cs="Times New Roman"/>
                <w:b/>
                <w:bCs/>
                <w:sz w:val="20"/>
                <w:szCs w:val="20"/>
                <w:lang w:val="cs-CZ"/>
              </w:rPr>
            </w:pPr>
            <w:r w:rsidRPr="007D69D6">
              <w:rPr>
                <w:rFonts w:cs="Times New Roman"/>
                <w:b/>
                <w:bCs/>
                <w:sz w:val="20"/>
                <w:szCs w:val="20"/>
                <w:lang w:val="cs-CZ"/>
              </w:rPr>
              <w:t>Druh opatření </w:t>
            </w:r>
          </w:p>
        </w:tc>
        <w:tc>
          <w:tcPr>
            <w:tcW w:w="4167" w:type="pct"/>
            <w:gridSpan w:val="10"/>
            <w:tcBorders>
              <w:top w:val="single" w:sz="12" w:space="0" w:color="auto"/>
              <w:left w:val="nil"/>
              <w:bottom w:val="single" w:sz="4" w:space="0" w:color="auto"/>
              <w:right w:val="single" w:sz="12" w:space="0" w:color="auto"/>
            </w:tcBorders>
            <w:shd w:val="clear" w:color="auto" w:fill="auto"/>
            <w:vAlign w:val="center"/>
            <w:hideMark/>
          </w:tcPr>
          <w:p w14:paraId="1B4CEF70" w14:textId="77777777" w:rsidR="00AA3A5F" w:rsidRPr="007D69D6" w:rsidRDefault="00AA3A5F" w:rsidP="007A68D5">
            <w:pPr>
              <w:jc w:val="center"/>
              <w:rPr>
                <w:rFonts w:cs="Times New Roman"/>
                <w:b/>
                <w:bCs/>
                <w:sz w:val="20"/>
                <w:szCs w:val="20"/>
                <w:lang w:val="cs-CZ"/>
              </w:rPr>
            </w:pPr>
            <w:r w:rsidRPr="007D69D6">
              <w:rPr>
                <w:rFonts w:cs="Times New Roman"/>
                <w:b/>
                <w:bCs/>
                <w:sz w:val="20"/>
                <w:szCs w:val="20"/>
                <w:lang w:val="cs-CZ"/>
              </w:rPr>
              <w:t>Rok</w:t>
            </w:r>
          </w:p>
        </w:tc>
      </w:tr>
      <w:tr w:rsidR="00AA3A5F" w:rsidRPr="007D69D6" w14:paraId="054A2240" w14:textId="77777777" w:rsidTr="007A68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33" w:type="pct"/>
            <w:gridSpan w:val="2"/>
            <w:vMerge/>
            <w:tcBorders>
              <w:top w:val="single" w:sz="8" w:space="0" w:color="auto"/>
              <w:left w:val="single" w:sz="12" w:space="0" w:color="auto"/>
              <w:bottom w:val="single" w:sz="12" w:space="0" w:color="auto"/>
              <w:right w:val="single" w:sz="4" w:space="0" w:color="auto"/>
            </w:tcBorders>
            <w:vAlign w:val="center"/>
            <w:hideMark/>
          </w:tcPr>
          <w:p w14:paraId="6461B507" w14:textId="77777777" w:rsidR="00AA3A5F" w:rsidRPr="007D69D6" w:rsidRDefault="00AA3A5F" w:rsidP="007A68D5">
            <w:pPr>
              <w:jc w:val="left"/>
              <w:rPr>
                <w:rFonts w:cs="Times New Roman"/>
                <w:b/>
                <w:bCs/>
                <w:sz w:val="20"/>
                <w:szCs w:val="20"/>
                <w:lang w:val="cs-CZ"/>
              </w:rPr>
            </w:pPr>
          </w:p>
        </w:tc>
        <w:tc>
          <w:tcPr>
            <w:tcW w:w="628" w:type="pct"/>
            <w:tcBorders>
              <w:top w:val="nil"/>
              <w:left w:val="nil"/>
              <w:bottom w:val="single" w:sz="12" w:space="0" w:color="auto"/>
              <w:right w:val="single" w:sz="4" w:space="0" w:color="auto"/>
            </w:tcBorders>
            <w:shd w:val="clear" w:color="auto" w:fill="auto"/>
            <w:noWrap/>
            <w:vAlign w:val="bottom"/>
            <w:hideMark/>
          </w:tcPr>
          <w:p w14:paraId="136AC043" w14:textId="77777777" w:rsidR="00AA3A5F" w:rsidRPr="007D69D6" w:rsidRDefault="00AA3A5F" w:rsidP="007A68D5">
            <w:pPr>
              <w:jc w:val="center"/>
              <w:rPr>
                <w:rFonts w:cs="Times New Roman"/>
                <w:b/>
                <w:bCs/>
                <w:color w:val="000000"/>
                <w:sz w:val="20"/>
                <w:szCs w:val="20"/>
                <w:lang w:val="cs-CZ"/>
              </w:rPr>
            </w:pPr>
            <w:r w:rsidRPr="007D69D6">
              <w:rPr>
                <w:rFonts w:cs="Times New Roman"/>
                <w:b/>
                <w:bCs/>
                <w:color w:val="000000"/>
                <w:sz w:val="20"/>
                <w:szCs w:val="20"/>
                <w:lang w:val="cs-CZ"/>
              </w:rPr>
              <w:t>2013</w:t>
            </w:r>
          </w:p>
        </w:tc>
        <w:tc>
          <w:tcPr>
            <w:tcW w:w="707" w:type="pct"/>
            <w:gridSpan w:val="2"/>
            <w:tcBorders>
              <w:top w:val="nil"/>
              <w:left w:val="nil"/>
              <w:bottom w:val="single" w:sz="12" w:space="0" w:color="auto"/>
              <w:right w:val="single" w:sz="4" w:space="0" w:color="auto"/>
            </w:tcBorders>
            <w:shd w:val="clear" w:color="auto" w:fill="auto"/>
            <w:noWrap/>
            <w:vAlign w:val="bottom"/>
            <w:hideMark/>
          </w:tcPr>
          <w:p w14:paraId="015E8157" w14:textId="77777777" w:rsidR="00AA3A5F" w:rsidRPr="007D69D6" w:rsidRDefault="00AA3A5F" w:rsidP="007A68D5">
            <w:pPr>
              <w:jc w:val="center"/>
              <w:rPr>
                <w:rFonts w:cs="Times New Roman"/>
                <w:b/>
                <w:bCs/>
                <w:color w:val="000000"/>
                <w:sz w:val="20"/>
                <w:szCs w:val="20"/>
                <w:lang w:val="cs-CZ"/>
              </w:rPr>
            </w:pPr>
            <w:r w:rsidRPr="007D69D6">
              <w:rPr>
                <w:rFonts w:cs="Times New Roman"/>
                <w:b/>
                <w:bCs/>
                <w:color w:val="000000"/>
                <w:sz w:val="20"/>
                <w:szCs w:val="20"/>
                <w:lang w:val="cs-CZ"/>
              </w:rPr>
              <w:t>2014</w:t>
            </w:r>
          </w:p>
        </w:tc>
        <w:tc>
          <w:tcPr>
            <w:tcW w:w="707" w:type="pct"/>
            <w:gridSpan w:val="2"/>
            <w:tcBorders>
              <w:top w:val="nil"/>
              <w:left w:val="nil"/>
              <w:bottom w:val="single" w:sz="12" w:space="0" w:color="auto"/>
              <w:right w:val="single" w:sz="4" w:space="0" w:color="auto"/>
            </w:tcBorders>
            <w:shd w:val="clear" w:color="auto" w:fill="auto"/>
            <w:noWrap/>
            <w:vAlign w:val="bottom"/>
            <w:hideMark/>
          </w:tcPr>
          <w:p w14:paraId="2194A686" w14:textId="77777777" w:rsidR="00AA3A5F" w:rsidRPr="007D69D6" w:rsidRDefault="00AA3A5F" w:rsidP="007A68D5">
            <w:pPr>
              <w:jc w:val="center"/>
              <w:rPr>
                <w:rFonts w:cs="Times New Roman"/>
                <w:b/>
                <w:bCs/>
                <w:color w:val="000000"/>
                <w:sz w:val="20"/>
                <w:szCs w:val="20"/>
                <w:lang w:val="cs-CZ"/>
              </w:rPr>
            </w:pPr>
            <w:r w:rsidRPr="007D69D6">
              <w:rPr>
                <w:rFonts w:cs="Times New Roman"/>
                <w:b/>
                <w:bCs/>
                <w:color w:val="000000"/>
                <w:sz w:val="20"/>
                <w:szCs w:val="20"/>
                <w:lang w:val="cs-CZ"/>
              </w:rPr>
              <w:t>2015</w:t>
            </w:r>
          </w:p>
        </w:tc>
        <w:tc>
          <w:tcPr>
            <w:tcW w:w="707" w:type="pct"/>
            <w:gridSpan w:val="2"/>
            <w:tcBorders>
              <w:top w:val="nil"/>
              <w:left w:val="nil"/>
              <w:bottom w:val="single" w:sz="12" w:space="0" w:color="auto"/>
              <w:right w:val="single" w:sz="4" w:space="0" w:color="auto"/>
            </w:tcBorders>
            <w:shd w:val="clear" w:color="auto" w:fill="auto"/>
            <w:noWrap/>
            <w:vAlign w:val="bottom"/>
            <w:hideMark/>
          </w:tcPr>
          <w:p w14:paraId="5EC513D5" w14:textId="77777777" w:rsidR="00AA3A5F" w:rsidRPr="007D69D6" w:rsidRDefault="00AA3A5F" w:rsidP="007A68D5">
            <w:pPr>
              <w:jc w:val="center"/>
              <w:rPr>
                <w:rFonts w:cs="Times New Roman"/>
                <w:b/>
                <w:bCs/>
                <w:color w:val="000000"/>
                <w:sz w:val="20"/>
                <w:szCs w:val="20"/>
                <w:lang w:val="cs-CZ"/>
              </w:rPr>
            </w:pPr>
            <w:r w:rsidRPr="007D69D6">
              <w:rPr>
                <w:rFonts w:cs="Times New Roman"/>
                <w:b/>
                <w:bCs/>
                <w:color w:val="000000"/>
                <w:sz w:val="20"/>
                <w:szCs w:val="20"/>
                <w:lang w:val="cs-CZ"/>
              </w:rPr>
              <w:t>2016</w:t>
            </w:r>
          </w:p>
        </w:tc>
        <w:tc>
          <w:tcPr>
            <w:tcW w:w="708" w:type="pct"/>
            <w:gridSpan w:val="2"/>
            <w:tcBorders>
              <w:top w:val="nil"/>
              <w:left w:val="nil"/>
              <w:bottom w:val="single" w:sz="12" w:space="0" w:color="auto"/>
              <w:right w:val="nil"/>
            </w:tcBorders>
            <w:shd w:val="clear" w:color="auto" w:fill="auto"/>
            <w:noWrap/>
            <w:vAlign w:val="bottom"/>
            <w:hideMark/>
          </w:tcPr>
          <w:p w14:paraId="4996BDB7" w14:textId="77777777" w:rsidR="00AA3A5F" w:rsidRPr="007D69D6" w:rsidRDefault="00AA3A5F" w:rsidP="007A68D5">
            <w:pPr>
              <w:jc w:val="center"/>
              <w:rPr>
                <w:rFonts w:cs="Times New Roman"/>
                <w:b/>
                <w:bCs/>
                <w:color w:val="000000"/>
                <w:sz w:val="20"/>
                <w:szCs w:val="20"/>
                <w:lang w:val="cs-CZ"/>
              </w:rPr>
            </w:pPr>
            <w:r w:rsidRPr="007D69D6">
              <w:rPr>
                <w:rFonts w:cs="Times New Roman"/>
                <w:b/>
                <w:bCs/>
                <w:color w:val="000000"/>
                <w:sz w:val="20"/>
                <w:szCs w:val="20"/>
                <w:lang w:val="cs-CZ"/>
              </w:rPr>
              <w:t>2017</w:t>
            </w:r>
          </w:p>
        </w:tc>
        <w:tc>
          <w:tcPr>
            <w:tcW w:w="710" w:type="pct"/>
            <w:tcBorders>
              <w:top w:val="nil"/>
              <w:left w:val="single" w:sz="4" w:space="0" w:color="auto"/>
              <w:bottom w:val="single" w:sz="12" w:space="0" w:color="auto"/>
              <w:right w:val="single" w:sz="12" w:space="0" w:color="auto"/>
            </w:tcBorders>
            <w:shd w:val="clear" w:color="auto" w:fill="auto"/>
            <w:noWrap/>
            <w:vAlign w:val="bottom"/>
            <w:hideMark/>
          </w:tcPr>
          <w:p w14:paraId="36F8E3DB" w14:textId="77777777" w:rsidR="00AA3A5F" w:rsidRPr="007D69D6" w:rsidRDefault="00AA3A5F" w:rsidP="007A68D5">
            <w:pPr>
              <w:jc w:val="center"/>
              <w:rPr>
                <w:rFonts w:cs="Times New Roman"/>
                <w:b/>
                <w:bCs/>
                <w:color w:val="000000"/>
                <w:sz w:val="20"/>
                <w:szCs w:val="20"/>
                <w:lang w:val="cs-CZ"/>
              </w:rPr>
            </w:pPr>
            <w:r w:rsidRPr="007D69D6">
              <w:rPr>
                <w:rFonts w:cs="Times New Roman"/>
                <w:b/>
                <w:bCs/>
                <w:color w:val="000000"/>
                <w:sz w:val="20"/>
                <w:szCs w:val="20"/>
                <w:lang w:val="cs-CZ"/>
              </w:rPr>
              <w:t>2018</w:t>
            </w:r>
          </w:p>
        </w:tc>
      </w:tr>
      <w:tr w:rsidR="00AA3A5F" w:rsidRPr="007D69D6" w14:paraId="70B8FB2D" w14:textId="77777777" w:rsidTr="007A68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833" w:type="pct"/>
            <w:gridSpan w:val="2"/>
            <w:tcBorders>
              <w:top w:val="single" w:sz="12" w:space="0" w:color="auto"/>
              <w:left w:val="single" w:sz="12" w:space="0" w:color="auto"/>
              <w:bottom w:val="single" w:sz="4" w:space="0" w:color="auto"/>
              <w:right w:val="nil"/>
            </w:tcBorders>
            <w:shd w:val="clear" w:color="auto" w:fill="auto"/>
            <w:vAlign w:val="center"/>
            <w:hideMark/>
          </w:tcPr>
          <w:p w14:paraId="0810B4FD" w14:textId="77777777" w:rsidR="00AA3A5F" w:rsidRPr="007D69D6" w:rsidRDefault="00AA3A5F" w:rsidP="007A68D5">
            <w:pPr>
              <w:jc w:val="left"/>
              <w:rPr>
                <w:rFonts w:cs="Times New Roman"/>
                <w:b/>
                <w:color w:val="000000"/>
                <w:sz w:val="20"/>
                <w:szCs w:val="20"/>
                <w:lang w:val="cs-CZ"/>
              </w:rPr>
            </w:pPr>
            <w:r w:rsidRPr="007D69D6">
              <w:rPr>
                <w:rFonts w:cs="Times New Roman"/>
                <w:b/>
                <w:color w:val="000000"/>
                <w:sz w:val="20"/>
                <w:szCs w:val="20"/>
                <w:lang w:val="cs-CZ"/>
              </w:rPr>
              <w:t xml:space="preserve">Opatření č.1 </w:t>
            </w:r>
          </w:p>
        </w:tc>
        <w:tc>
          <w:tcPr>
            <w:tcW w:w="628" w:type="pct"/>
            <w:tcBorders>
              <w:top w:val="single" w:sz="12" w:space="0" w:color="auto"/>
              <w:left w:val="single" w:sz="4" w:space="0" w:color="auto"/>
              <w:bottom w:val="single" w:sz="4" w:space="0" w:color="auto"/>
              <w:right w:val="single" w:sz="4" w:space="0" w:color="auto"/>
            </w:tcBorders>
            <w:shd w:val="clear" w:color="auto" w:fill="auto"/>
            <w:noWrap/>
            <w:vAlign w:val="bottom"/>
            <w:hideMark/>
          </w:tcPr>
          <w:p w14:paraId="03FC092F"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3 417,91</w:t>
            </w:r>
          </w:p>
        </w:tc>
        <w:tc>
          <w:tcPr>
            <w:tcW w:w="707" w:type="pct"/>
            <w:gridSpan w:val="2"/>
            <w:tcBorders>
              <w:top w:val="single" w:sz="12" w:space="0" w:color="auto"/>
              <w:left w:val="nil"/>
              <w:bottom w:val="single" w:sz="4" w:space="0" w:color="auto"/>
              <w:right w:val="single" w:sz="4" w:space="0" w:color="auto"/>
            </w:tcBorders>
            <w:shd w:val="clear" w:color="auto" w:fill="auto"/>
            <w:noWrap/>
            <w:vAlign w:val="bottom"/>
            <w:hideMark/>
          </w:tcPr>
          <w:p w14:paraId="76F8F72F"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2 209,05</w:t>
            </w:r>
          </w:p>
        </w:tc>
        <w:tc>
          <w:tcPr>
            <w:tcW w:w="707" w:type="pct"/>
            <w:gridSpan w:val="2"/>
            <w:tcBorders>
              <w:top w:val="single" w:sz="12" w:space="0" w:color="auto"/>
              <w:left w:val="nil"/>
              <w:bottom w:val="single" w:sz="4" w:space="0" w:color="auto"/>
              <w:right w:val="single" w:sz="4" w:space="0" w:color="auto"/>
            </w:tcBorders>
            <w:shd w:val="clear" w:color="auto" w:fill="auto"/>
            <w:noWrap/>
            <w:vAlign w:val="bottom"/>
            <w:hideMark/>
          </w:tcPr>
          <w:p w14:paraId="482FBF3C"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2 880,38</w:t>
            </w:r>
          </w:p>
        </w:tc>
        <w:tc>
          <w:tcPr>
            <w:tcW w:w="707" w:type="pct"/>
            <w:gridSpan w:val="2"/>
            <w:tcBorders>
              <w:top w:val="single" w:sz="12" w:space="0" w:color="auto"/>
              <w:left w:val="nil"/>
              <w:bottom w:val="single" w:sz="4" w:space="0" w:color="auto"/>
              <w:right w:val="single" w:sz="4" w:space="0" w:color="auto"/>
            </w:tcBorders>
            <w:shd w:val="clear" w:color="auto" w:fill="auto"/>
            <w:noWrap/>
            <w:vAlign w:val="bottom"/>
            <w:hideMark/>
          </w:tcPr>
          <w:p w14:paraId="6AC82FB2"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2 827,48</w:t>
            </w:r>
          </w:p>
        </w:tc>
        <w:tc>
          <w:tcPr>
            <w:tcW w:w="708" w:type="pct"/>
            <w:gridSpan w:val="2"/>
            <w:tcBorders>
              <w:top w:val="single" w:sz="12" w:space="0" w:color="auto"/>
              <w:left w:val="nil"/>
              <w:bottom w:val="single" w:sz="4" w:space="0" w:color="auto"/>
              <w:right w:val="nil"/>
            </w:tcBorders>
            <w:shd w:val="clear" w:color="auto" w:fill="auto"/>
            <w:noWrap/>
            <w:vAlign w:val="bottom"/>
            <w:hideMark/>
          </w:tcPr>
          <w:p w14:paraId="1CDAA3C5"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4 423,05</w:t>
            </w:r>
          </w:p>
        </w:tc>
        <w:tc>
          <w:tcPr>
            <w:tcW w:w="710" w:type="pct"/>
            <w:tcBorders>
              <w:top w:val="single" w:sz="12" w:space="0" w:color="auto"/>
              <w:left w:val="single" w:sz="4" w:space="0" w:color="auto"/>
              <w:bottom w:val="single" w:sz="4" w:space="0" w:color="auto"/>
              <w:right w:val="single" w:sz="12" w:space="0" w:color="auto"/>
            </w:tcBorders>
            <w:shd w:val="clear" w:color="auto" w:fill="auto"/>
            <w:noWrap/>
            <w:vAlign w:val="bottom"/>
            <w:hideMark/>
          </w:tcPr>
          <w:p w14:paraId="0AC989D2"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6 325,28</w:t>
            </w:r>
          </w:p>
        </w:tc>
      </w:tr>
      <w:tr w:rsidR="00AA3A5F" w:rsidRPr="007D69D6" w14:paraId="74BBCFD5" w14:textId="77777777" w:rsidTr="007A68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833" w:type="pct"/>
            <w:gridSpan w:val="2"/>
            <w:tcBorders>
              <w:top w:val="single" w:sz="4" w:space="0" w:color="auto"/>
              <w:left w:val="single" w:sz="12" w:space="0" w:color="auto"/>
              <w:bottom w:val="single" w:sz="4" w:space="0" w:color="auto"/>
              <w:right w:val="nil"/>
            </w:tcBorders>
            <w:shd w:val="clear" w:color="auto" w:fill="auto"/>
            <w:vAlign w:val="center"/>
            <w:hideMark/>
          </w:tcPr>
          <w:p w14:paraId="0388EEE7" w14:textId="77777777" w:rsidR="00AA3A5F" w:rsidRPr="007D69D6" w:rsidRDefault="00AA3A5F" w:rsidP="007A68D5">
            <w:pPr>
              <w:jc w:val="left"/>
              <w:rPr>
                <w:rFonts w:cs="Times New Roman"/>
                <w:b/>
                <w:color w:val="000000"/>
                <w:sz w:val="20"/>
                <w:szCs w:val="20"/>
                <w:lang w:val="cs-CZ"/>
              </w:rPr>
            </w:pPr>
            <w:r w:rsidRPr="007D69D6">
              <w:rPr>
                <w:rFonts w:cs="Times New Roman"/>
                <w:b/>
                <w:color w:val="000000"/>
                <w:sz w:val="20"/>
                <w:szCs w:val="20"/>
                <w:lang w:val="cs-CZ"/>
              </w:rPr>
              <w:t xml:space="preserve">Opatření č. 2 </w:t>
            </w:r>
          </w:p>
        </w:tc>
        <w:tc>
          <w:tcPr>
            <w:tcW w:w="6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41C9A4"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40 927,82</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71E17B7B"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67 511,63</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724B14E4"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54 228,37</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456D6EBB"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60 328,65</w:t>
            </w:r>
          </w:p>
        </w:tc>
        <w:tc>
          <w:tcPr>
            <w:tcW w:w="708" w:type="pct"/>
            <w:gridSpan w:val="2"/>
            <w:tcBorders>
              <w:top w:val="single" w:sz="4" w:space="0" w:color="auto"/>
              <w:left w:val="nil"/>
              <w:bottom w:val="single" w:sz="4" w:space="0" w:color="auto"/>
              <w:right w:val="nil"/>
            </w:tcBorders>
            <w:shd w:val="clear" w:color="auto" w:fill="auto"/>
            <w:noWrap/>
            <w:vAlign w:val="bottom"/>
            <w:hideMark/>
          </w:tcPr>
          <w:p w14:paraId="123DD82C"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65 906,35</w:t>
            </w:r>
          </w:p>
        </w:tc>
        <w:tc>
          <w:tcPr>
            <w:tcW w:w="710" w:type="pct"/>
            <w:tcBorders>
              <w:top w:val="single" w:sz="4" w:space="0" w:color="auto"/>
              <w:left w:val="single" w:sz="4" w:space="0" w:color="auto"/>
              <w:bottom w:val="single" w:sz="4" w:space="0" w:color="auto"/>
              <w:right w:val="single" w:sz="12" w:space="0" w:color="auto"/>
            </w:tcBorders>
            <w:shd w:val="clear" w:color="auto" w:fill="auto"/>
            <w:noWrap/>
            <w:vAlign w:val="bottom"/>
            <w:hideMark/>
          </w:tcPr>
          <w:p w14:paraId="699ADA76"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78 304,45</w:t>
            </w:r>
          </w:p>
        </w:tc>
      </w:tr>
      <w:tr w:rsidR="00AA3A5F" w:rsidRPr="007D69D6" w14:paraId="67E60B3E" w14:textId="77777777" w:rsidTr="007A68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833" w:type="pct"/>
            <w:gridSpan w:val="2"/>
            <w:tcBorders>
              <w:top w:val="single" w:sz="4" w:space="0" w:color="auto"/>
              <w:left w:val="single" w:sz="12" w:space="0" w:color="auto"/>
              <w:bottom w:val="single" w:sz="4" w:space="0" w:color="auto"/>
              <w:right w:val="nil"/>
            </w:tcBorders>
            <w:shd w:val="clear" w:color="auto" w:fill="auto"/>
            <w:vAlign w:val="center"/>
            <w:hideMark/>
          </w:tcPr>
          <w:p w14:paraId="64211EF4" w14:textId="77777777" w:rsidR="00AA3A5F" w:rsidRPr="007D69D6" w:rsidRDefault="00AA3A5F" w:rsidP="007A68D5">
            <w:pPr>
              <w:jc w:val="left"/>
              <w:rPr>
                <w:rFonts w:cs="Times New Roman"/>
                <w:b/>
                <w:color w:val="000000"/>
                <w:sz w:val="20"/>
                <w:szCs w:val="20"/>
                <w:lang w:val="cs-CZ"/>
              </w:rPr>
            </w:pPr>
            <w:r w:rsidRPr="007D69D6">
              <w:rPr>
                <w:rFonts w:cs="Times New Roman"/>
                <w:b/>
                <w:color w:val="000000"/>
                <w:sz w:val="20"/>
                <w:szCs w:val="20"/>
                <w:lang w:val="cs-CZ"/>
              </w:rPr>
              <w:t xml:space="preserve">Opatření č. 3 </w:t>
            </w:r>
          </w:p>
        </w:tc>
        <w:tc>
          <w:tcPr>
            <w:tcW w:w="6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D6B27"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27 758,47</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48F4A251"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37 415,39</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6C03CD86"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47 116,39</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68F06E2F"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48 594,25</w:t>
            </w:r>
          </w:p>
        </w:tc>
        <w:tc>
          <w:tcPr>
            <w:tcW w:w="708" w:type="pct"/>
            <w:gridSpan w:val="2"/>
            <w:tcBorders>
              <w:top w:val="single" w:sz="4" w:space="0" w:color="auto"/>
              <w:left w:val="nil"/>
              <w:bottom w:val="single" w:sz="4" w:space="0" w:color="auto"/>
              <w:right w:val="nil"/>
            </w:tcBorders>
            <w:shd w:val="clear" w:color="auto" w:fill="auto"/>
            <w:noWrap/>
            <w:vAlign w:val="bottom"/>
            <w:hideMark/>
          </w:tcPr>
          <w:p w14:paraId="6ABFFF7A"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74 759,55</w:t>
            </w:r>
          </w:p>
        </w:tc>
        <w:tc>
          <w:tcPr>
            <w:tcW w:w="710" w:type="pct"/>
            <w:tcBorders>
              <w:top w:val="single" w:sz="4" w:space="0" w:color="auto"/>
              <w:left w:val="single" w:sz="4" w:space="0" w:color="auto"/>
              <w:bottom w:val="single" w:sz="4" w:space="0" w:color="auto"/>
              <w:right w:val="single" w:sz="12" w:space="0" w:color="auto"/>
            </w:tcBorders>
            <w:shd w:val="clear" w:color="auto" w:fill="auto"/>
            <w:noWrap/>
            <w:vAlign w:val="bottom"/>
            <w:hideMark/>
          </w:tcPr>
          <w:p w14:paraId="62B8D591"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60 535,49</w:t>
            </w:r>
          </w:p>
        </w:tc>
      </w:tr>
      <w:tr w:rsidR="00AA3A5F" w:rsidRPr="007D69D6" w14:paraId="055820B8" w14:textId="77777777" w:rsidTr="007A68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833" w:type="pct"/>
            <w:gridSpan w:val="2"/>
            <w:tcBorders>
              <w:top w:val="single" w:sz="4" w:space="0" w:color="auto"/>
              <w:left w:val="single" w:sz="12" w:space="0" w:color="auto"/>
              <w:bottom w:val="single" w:sz="4" w:space="0" w:color="auto"/>
              <w:right w:val="nil"/>
            </w:tcBorders>
            <w:shd w:val="clear" w:color="auto" w:fill="auto"/>
            <w:vAlign w:val="center"/>
            <w:hideMark/>
          </w:tcPr>
          <w:p w14:paraId="7F4A351E" w14:textId="77777777" w:rsidR="00AA3A5F" w:rsidRPr="007D69D6" w:rsidRDefault="00AA3A5F" w:rsidP="007A68D5">
            <w:pPr>
              <w:jc w:val="left"/>
              <w:rPr>
                <w:rFonts w:cs="Times New Roman"/>
                <w:b/>
                <w:color w:val="000000"/>
                <w:sz w:val="20"/>
                <w:szCs w:val="20"/>
                <w:lang w:val="cs-CZ"/>
              </w:rPr>
            </w:pPr>
            <w:r w:rsidRPr="007D69D6">
              <w:rPr>
                <w:rFonts w:cs="Times New Roman"/>
                <w:b/>
                <w:color w:val="000000"/>
                <w:sz w:val="20"/>
                <w:szCs w:val="20"/>
                <w:lang w:val="cs-CZ"/>
              </w:rPr>
              <w:t xml:space="preserve">Opatření č. 4 </w:t>
            </w:r>
          </w:p>
        </w:tc>
        <w:tc>
          <w:tcPr>
            <w:tcW w:w="6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E4B9CE"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2 542,13</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4DB9020E"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2 270,76</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4D90B458"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2 677,41</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436364F7"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1 116,86</w:t>
            </w:r>
          </w:p>
        </w:tc>
        <w:tc>
          <w:tcPr>
            <w:tcW w:w="708" w:type="pct"/>
            <w:gridSpan w:val="2"/>
            <w:tcBorders>
              <w:top w:val="single" w:sz="4" w:space="0" w:color="auto"/>
              <w:left w:val="nil"/>
              <w:bottom w:val="single" w:sz="4" w:space="0" w:color="auto"/>
              <w:right w:val="nil"/>
            </w:tcBorders>
            <w:shd w:val="clear" w:color="auto" w:fill="auto"/>
            <w:noWrap/>
            <w:vAlign w:val="bottom"/>
            <w:hideMark/>
          </w:tcPr>
          <w:p w14:paraId="57253F21"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926,92</w:t>
            </w:r>
          </w:p>
        </w:tc>
        <w:tc>
          <w:tcPr>
            <w:tcW w:w="710" w:type="pct"/>
            <w:tcBorders>
              <w:top w:val="single" w:sz="4" w:space="0" w:color="auto"/>
              <w:left w:val="single" w:sz="4" w:space="0" w:color="auto"/>
              <w:bottom w:val="single" w:sz="4" w:space="0" w:color="auto"/>
              <w:right w:val="single" w:sz="12" w:space="0" w:color="auto"/>
            </w:tcBorders>
            <w:shd w:val="clear" w:color="auto" w:fill="auto"/>
            <w:noWrap/>
            <w:vAlign w:val="bottom"/>
            <w:hideMark/>
          </w:tcPr>
          <w:p w14:paraId="4AF3C84D"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2 816,05</w:t>
            </w:r>
          </w:p>
        </w:tc>
      </w:tr>
      <w:tr w:rsidR="00AA3A5F" w:rsidRPr="007D69D6" w14:paraId="6CF023D4" w14:textId="77777777" w:rsidTr="007A68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833" w:type="pct"/>
            <w:gridSpan w:val="2"/>
            <w:tcBorders>
              <w:top w:val="single" w:sz="4" w:space="0" w:color="auto"/>
              <w:left w:val="single" w:sz="12" w:space="0" w:color="auto"/>
              <w:bottom w:val="single" w:sz="4" w:space="0" w:color="auto"/>
              <w:right w:val="nil"/>
            </w:tcBorders>
            <w:shd w:val="clear" w:color="auto" w:fill="auto"/>
            <w:vAlign w:val="center"/>
            <w:hideMark/>
          </w:tcPr>
          <w:p w14:paraId="20EBF828" w14:textId="77777777" w:rsidR="00AA3A5F" w:rsidRPr="007D69D6" w:rsidRDefault="00AA3A5F" w:rsidP="007A68D5">
            <w:pPr>
              <w:jc w:val="left"/>
              <w:rPr>
                <w:rFonts w:cs="Times New Roman"/>
                <w:b/>
                <w:color w:val="000000"/>
                <w:sz w:val="20"/>
                <w:szCs w:val="20"/>
                <w:lang w:val="cs-CZ"/>
              </w:rPr>
            </w:pPr>
            <w:r w:rsidRPr="007D69D6">
              <w:rPr>
                <w:rFonts w:cs="Times New Roman"/>
                <w:b/>
                <w:color w:val="000000"/>
                <w:sz w:val="20"/>
                <w:szCs w:val="20"/>
                <w:lang w:val="cs-CZ"/>
              </w:rPr>
              <w:t xml:space="preserve">Opatření č. 5 </w:t>
            </w:r>
          </w:p>
        </w:tc>
        <w:tc>
          <w:tcPr>
            <w:tcW w:w="6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BCAAF"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9 934,54</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4EBB5F3C"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11 643,32</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05415B77"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14 263,37</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375E8F77"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14 335,59</w:t>
            </w:r>
          </w:p>
        </w:tc>
        <w:tc>
          <w:tcPr>
            <w:tcW w:w="708" w:type="pct"/>
            <w:gridSpan w:val="2"/>
            <w:tcBorders>
              <w:top w:val="single" w:sz="4" w:space="0" w:color="auto"/>
              <w:left w:val="nil"/>
              <w:bottom w:val="single" w:sz="4" w:space="0" w:color="auto"/>
              <w:right w:val="nil"/>
            </w:tcBorders>
            <w:shd w:val="clear" w:color="auto" w:fill="auto"/>
            <w:noWrap/>
            <w:vAlign w:val="bottom"/>
            <w:hideMark/>
          </w:tcPr>
          <w:p w14:paraId="41B29AA7"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20 900,81</w:t>
            </w:r>
          </w:p>
        </w:tc>
        <w:tc>
          <w:tcPr>
            <w:tcW w:w="710" w:type="pct"/>
            <w:tcBorders>
              <w:top w:val="single" w:sz="4" w:space="0" w:color="auto"/>
              <w:left w:val="single" w:sz="4" w:space="0" w:color="auto"/>
              <w:bottom w:val="single" w:sz="4" w:space="0" w:color="auto"/>
              <w:right w:val="single" w:sz="12" w:space="0" w:color="auto"/>
            </w:tcBorders>
            <w:shd w:val="clear" w:color="auto" w:fill="auto"/>
            <w:noWrap/>
            <w:vAlign w:val="bottom"/>
            <w:hideMark/>
          </w:tcPr>
          <w:p w14:paraId="7BE3CB03"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16 768,32</w:t>
            </w:r>
          </w:p>
        </w:tc>
      </w:tr>
      <w:tr w:rsidR="00AA3A5F" w:rsidRPr="007D69D6" w14:paraId="6313D8D0" w14:textId="77777777" w:rsidTr="007A68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833" w:type="pct"/>
            <w:gridSpan w:val="2"/>
            <w:tcBorders>
              <w:top w:val="single" w:sz="4" w:space="0" w:color="auto"/>
              <w:left w:val="single" w:sz="12" w:space="0" w:color="auto"/>
              <w:bottom w:val="single" w:sz="4" w:space="0" w:color="auto"/>
              <w:right w:val="nil"/>
            </w:tcBorders>
            <w:shd w:val="clear" w:color="auto" w:fill="auto"/>
            <w:vAlign w:val="center"/>
            <w:hideMark/>
          </w:tcPr>
          <w:p w14:paraId="539B7207" w14:textId="77777777" w:rsidR="00AA3A5F" w:rsidRPr="007D69D6" w:rsidRDefault="00AA3A5F" w:rsidP="007A68D5">
            <w:pPr>
              <w:jc w:val="left"/>
              <w:rPr>
                <w:rFonts w:cs="Times New Roman"/>
                <w:b/>
                <w:color w:val="000000"/>
                <w:sz w:val="20"/>
                <w:szCs w:val="20"/>
                <w:lang w:val="cs-CZ"/>
              </w:rPr>
            </w:pPr>
            <w:r w:rsidRPr="007D69D6">
              <w:rPr>
                <w:rFonts w:cs="Times New Roman"/>
                <w:b/>
                <w:color w:val="000000"/>
                <w:sz w:val="20"/>
                <w:szCs w:val="20"/>
                <w:lang w:val="cs-CZ"/>
              </w:rPr>
              <w:t xml:space="preserve">Opatření č. 6 </w:t>
            </w:r>
          </w:p>
        </w:tc>
        <w:tc>
          <w:tcPr>
            <w:tcW w:w="6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253AF"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9 955,06</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76010B95"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15 290,56</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21263703"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19 839,01</w:t>
            </w:r>
          </w:p>
        </w:tc>
        <w:tc>
          <w:tcPr>
            <w:tcW w:w="707" w:type="pct"/>
            <w:gridSpan w:val="2"/>
            <w:tcBorders>
              <w:top w:val="single" w:sz="4" w:space="0" w:color="auto"/>
              <w:left w:val="nil"/>
              <w:bottom w:val="single" w:sz="4" w:space="0" w:color="auto"/>
              <w:right w:val="single" w:sz="4" w:space="0" w:color="auto"/>
            </w:tcBorders>
            <w:shd w:val="clear" w:color="auto" w:fill="auto"/>
            <w:noWrap/>
            <w:vAlign w:val="bottom"/>
            <w:hideMark/>
          </w:tcPr>
          <w:p w14:paraId="52192683"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17 960,39</w:t>
            </w:r>
          </w:p>
        </w:tc>
        <w:tc>
          <w:tcPr>
            <w:tcW w:w="708" w:type="pct"/>
            <w:gridSpan w:val="2"/>
            <w:tcBorders>
              <w:top w:val="single" w:sz="4" w:space="0" w:color="auto"/>
              <w:left w:val="nil"/>
              <w:bottom w:val="single" w:sz="4" w:space="0" w:color="auto"/>
              <w:right w:val="nil"/>
            </w:tcBorders>
            <w:shd w:val="clear" w:color="auto" w:fill="auto"/>
            <w:noWrap/>
            <w:vAlign w:val="bottom"/>
            <w:hideMark/>
          </w:tcPr>
          <w:p w14:paraId="29E740D0"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20 898,38</w:t>
            </w:r>
          </w:p>
        </w:tc>
        <w:tc>
          <w:tcPr>
            <w:tcW w:w="710" w:type="pct"/>
            <w:tcBorders>
              <w:top w:val="single" w:sz="4" w:space="0" w:color="auto"/>
              <w:left w:val="single" w:sz="4" w:space="0" w:color="auto"/>
              <w:bottom w:val="single" w:sz="4" w:space="0" w:color="auto"/>
              <w:right w:val="single" w:sz="12" w:space="0" w:color="auto"/>
            </w:tcBorders>
            <w:shd w:val="clear" w:color="auto" w:fill="auto"/>
            <w:noWrap/>
            <w:vAlign w:val="bottom"/>
            <w:hideMark/>
          </w:tcPr>
          <w:p w14:paraId="27AE4182"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29 001,83</w:t>
            </w:r>
          </w:p>
        </w:tc>
      </w:tr>
      <w:tr w:rsidR="00AA3A5F" w:rsidRPr="007D69D6" w14:paraId="3672D740" w14:textId="77777777" w:rsidTr="007A68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33" w:type="pct"/>
            <w:gridSpan w:val="2"/>
            <w:tcBorders>
              <w:top w:val="single" w:sz="4" w:space="0" w:color="auto"/>
              <w:left w:val="single" w:sz="12" w:space="0" w:color="auto"/>
              <w:bottom w:val="single" w:sz="12" w:space="0" w:color="auto"/>
              <w:right w:val="nil"/>
            </w:tcBorders>
            <w:shd w:val="clear" w:color="auto" w:fill="auto"/>
            <w:vAlign w:val="center"/>
            <w:hideMark/>
          </w:tcPr>
          <w:p w14:paraId="0B71936F" w14:textId="77777777" w:rsidR="00AA3A5F" w:rsidRPr="007D69D6" w:rsidRDefault="00AA3A5F" w:rsidP="007A68D5">
            <w:pPr>
              <w:jc w:val="left"/>
              <w:rPr>
                <w:rFonts w:cs="Times New Roman"/>
                <w:b/>
                <w:sz w:val="20"/>
                <w:szCs w:val="20"/>
                <w:lang w:val="cs-CZ"/>
              </w:rPr>
            </w:pPr>
            <w:r w:rsidRPr="007D69D6">
              <w:rPr>
                <w:rFonts w:cs="Times New Roman"/>
                <w:b/>
                <w:sz w:val="20"/>
                <w:szCs w:val="20"/>
                <w:lang w:val="cs-CZ"/>
              </w:rPr>
              <w:t xml:space="preserve">Opatření č. 7 </w:t>
            </w:r>
          </w:p>
        </w:tc>
        <w:tc>
          <w:tcPr>
            <w:tcW w:w="628" w:type="pct"/>
            <w:tcBorders>
              <w:top w:val="single" w:sz="4" w:space="0" w:color="auto"/>
              <w:left w:val="single" w:sz="4" w:space="0" w:color="auto"/>
              <w:bottom w:val="single" w:sz="12" w:space="0" w:color="auto"/>
              <w:right w:val="single" w:sz="4" w:space="0" w:color="auto"/>
            </w:tcBorders>
            <w:shd w:val="clear" w:color="auto" w:fill="auto"/>
            <w:noWrap/>
            <w:vAlign w:val="bottom"/>
            <w:hideMark/>
          </w:tcPr>
          <w:p w14:paraId="1F31C412"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1 228,34</w:t>
            </w:r>
          </w:p>
        </w:tc>
        <w:tc>
          <w:tcPr>
            <w:tcW w:w="707" w:type="pct"/>
            <w:gridSpan w:val="2"/>
            <w:tcBorders>
              <w:top w:val="single" w:sz="4" w:space="0" w:color="auto"/>
              <w:left w:val="nil"/>
              <w:bottom w:val="single" w:sz="12" w:space="0" w:color="auto"/>
              <w:right w:val="single" w:sz="4" w:space="0" w:color="auto"/>
            </w:tcBorders>
            <w:shd w:val="clear" w:color="auto" w:fill="auto"/>
            <w:noWrap/>
            <w:vAlign w:val="bottom"/>
            <w:hideMark/>
          </w:tcPr>
          <w:p w14:paraId="533BA999"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610,20</w:t>
            </w:r>
          </w:p>
        </w:tc>
        <w:tc>
          <w:tcPr>
            <w:tcW w:w="707" w:type="pct"/>
            <w:gridSpan w:val="2"/>
            <w:tcBorders>
              <w:top w:val="single" w:sz="4" w:space="0" w:color="auto"/>
              <w:left w:val="nil"/>
              <w:bottom w:val="single" w:sz="12" w:space="0" w:color="auto"/>
              <w:right w:val="single" w:sz="4" w:space="0" w:color="auto"/>
            </w:tcBorders>
            <w:shd w:val="clear" w:color="auto" w:fill="auto"/>
            <w:noWrap/>
            <w:vAlign w:val="bottom"/>
            <w:hideMark/>
          </w:tcPr>
          <w:p w14:paraId="32E6423A"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1 791,44</w:t>
            </w:r>
          </w:p>
        </w:tc>
        <w:tc>
          <w:tcPr>
            <w:tcW w:w="707" w:type="pct"/>
            <w:gridSpan w:val="2"/>
            <w:tcBorders>
              <w:top w:val="single" w:sz="4" w:space="0" w:color="auto"/>
              <w:left w:val="nil"/>
              <w:bottom w:val="single" w:sz="12" w:space="0" w:color="auto"/>
              <w:right w:val="single" w:sz="4" w:space="0" w:color="auto"/>
            </w:tcBorders>
            <w:shd w:val="clear" w:color="auto" w:fill="auto"/>
            <w:noWrap/>
            <w:vAlign w:val="bottom"/>
            <w:hideMark/>
          </w:tcPr>
          <w:p w14:paraId="46877746"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1 745,38</w:t>
            </w:r>
          </w:p>
        </w:tc>
        <w:tc>
          <w:tcPr>
            <w:tcW w:w="708" w:type="pct"/>
            <w:gridSpan w:val="2"/>
            <w:tcBorders>
              <w:top w:val="single" w:sz="4" w:space="0" w:color="auto"/>
              <w:left w:val="nil"/>
              <w:bottom w:val="single" w:sz="12" w:space="0" w:color="auto"/>
              <w:right w:val="nil"/>
            </w:tcBorders>
            <w:shd w:val="clear" w:color="auto" w:fill="auto"/>
            <w:noWrap/>
            <w:vAlign w:val="bottom"/>
            <w:hideMark/>
          </w:tcPr>
          <w:p w14:paraId="55F787DA"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2 621,11</w:t>
            </w:r>
          </w:p>
        </w:tc>
        <w:tc>
          <w:tcPr>
            <w:tcW w:w="710" w:type="pct"/>
            <w:tcBorders>
              <w:top w:val="single" w:sz="4" w:space="0" w:color="auto"/>
              <w:left w:val="single" w:sz="4" w:space="0" w:color="auto"/>
              <w:bottom w:val="single" w:sz="12" w:space="0" w:color="auto"/>
              <w:right w:val="single" w:sz="12" w:space="0" w:color="auto"/>
            </w:tcBorders>
            <w:shd w:val="clear" w:color="auto" w:fill="auto"/>
            <w:noWrap/>
            <w:vAlign w:val="bottom"/>
            <w:hideMark/>
          </w:tcPr>
          <w:p w14:paraId="1423A4B8" w14:textId="77777777" w:rsidR="00AA3A5F" w:rsidRPr="007D69D6" w:rsidRDefault="00AA3A5F" w:rsidP="007A68D5">
            <w:pPr>
              <w:jc w:val="center"/>
              <w:rPr>
                <w:rFonts w:cs="Times New Roman"/>
                <w:color w:val="000000"/>
                <w:sz w:val="20"/>
                <w:szCs w:val="20"/>
                <w:lang w:val="cs-CZ"/>
              </w:rPr>
            </w:pPr>
            <w:r w:rsidRPr="007D69D6">
              <w:rPr>
                <w:rFonts w:cs="Times New Roman"/>
                <w:color w:val="000000"/>
                <w:sz w:val="20"/>
                <w:szCs w:val="20"/>
                <w:lang w:val="cs-CZ"/>
              </w:rPr>
              <w:t>2 313,00</w:t>
            </w:r>
          </w:p>
        </w:tc>
      </w:tr>
      <w:tr w:rsidR="00AA3A5F" w:rsidRPr="007D69D6" w14:paraId="021C744A" w14:textId="77777777" w:rsidTr="007A68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33" w:type="pct"/>
            <w:gridSpan w:val="2"/>
            <w:tcBorders>
              <w:top w:val="single" w:sz="12" w:space="0" w:color="auto"/>
              <w:left w:val="single" w:sz="12" w:space="0" w:color="auto"/>
              <w:bottom w:val="single" w:sz="12" w:space="0" w:color="auto"/>
              <w:right w:val="nil"/>
            </w:tcBorders>
            <w:shd w:val="clear" w:color="auto" w:fill="auto"/>
            <w:noWrap/>
            <w:vAlign w:val="bottom"/>
            <w:hideMark/>
          </w:tcPr>
          <w:p w14:paraId="6EB872C3" w14:textId="77777777" w:rsidR="00AA3A5F" w:rsidRPr="007D69D6" w:rsidRDefault="00AA3A5F" w:rsidP="007A68D5">
            <w:pPr>
              <w:jc w:val="left"/>
              <w:rPr>
                <w:rFonts w:cs="Times New Roman"/>
                <w:b/>
                <w:bCs/>
                <w:color w:val="000000"/>
                <w:sz w:val="20"/>
                <w:szCs w:val="20"/>
                <w:lang w:val="cs-CZ"/>
              </w:rPr>
            </w:pPr>
            <w:r w:rsidRPr="007D69D6">
              <w:rPr>
                <w:rFonts w:cs="Times New Roman"/>
                <w:b/>
                <w:bCs/>
                <w:color w:val="000000"/>
                <w:sz w:val="20"/>
                <w:szCs w:val="20"/>
                <w:lang w:val="cs-CZ"/>
              </w:rPr>
              <w:t>CELKEM</w:t>
            </w:r>
          </w:p>
        </w:tc>
        <w:tc>
          <w:tcPr>
            <w:tcW w:w="628" w:type="pct"/>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35178BBE" w14:textId="77777777" w:rsidR="00AA3A5F" w:rsidRPr="007D69D6" w:rsidRDefault="00AA3A5F" w:rsidP="007A68D5">
            <w:pPr>
              <w:jc w:val="center"/>
              <w:rPr>
                <w:rFonts w:cs="Times New Roman"/>
                <w:b/>
                <w:bCs/>
                <w:color w:val="000000"/>
                <w:sz w:val="20"/>
                <w:szCs w:val="20"/>
                <w:lang w:val="cs-CZ"/>
              </w:rPr>
            </w:pPr>
            <w:r w:rsidRPr="007D69D6">
              <w:rPr>
                <w:rFonts w:cs="Times New Roman"/>
                <w:b/>
                <w:bCs/>
                <w:color w:val="000000"/>
                <w:sz w:val="20"/>
                <w:szCs w:val="20"/>
                <w:lang w:val="cs-CZ"/>
              </w:rPr>
              <w:t>95 764,26</w:t>
            </w:r>
          </w:p>
        </w:tc>
        <w:tc>
          <w:tcPr>
            <w:tcW w:w="707" w:type="pct"/>
            <w:gridSpan w:val="2"/>
            <w:tcBorders>
              <w:top w:val="single" w:sz="12" w:space="0" w:color="auto"/>
              <w:left w:val="nil"/>
              <w:bottom w:val="single" w:sz="12" w:space="0" w:color="auto"/>
              <w:right w:val="single" w:sz="4" w:space="0" w:color="auto"/>
            </w:tcBorders>
            <w:shd w:val="clear" w:color="auto" w:fill="auto"/>
            <w:noWrap/>
            <w:vAlign w:val="bottom"/>
            <w:hideMark/>
          </w:tcPr>
          <w:p w14:paraId="6358B6E3" w14:textId="77777777" w:rsidR="00AA3A5F" w:rsidRPr="007D69D6" w:rsidRDefault="00AA3A5F" w:rsidP="007A68D5">
            <w:pPr>
              <w:jc w:val="center"/>
              <w:rPr>
                <w:rFonts w:cs="Times New Roman"/>
                <w:b/>
                <w:bCs/>
                <w:color w:val="000000"/>
                <w:sz w:val="20"/>
                <w:szCs w:val="20"/>
                <w:lang w:val="cs-CZ"/>
              </w:rPr>
            </w:pPr>
            <w:r w:rsidRPr="007D69D6">
              <w:rPr>
                <w:rFonts w:cs="Times New Roman"/>
                <w:b/>
                <w:bCs/>
                <w:color w:val="000000"/>
                <w:sz w:val="20"/>
                <w:szCs w:val="20"/>
                <w:lang w:val="cs-CZ"/>
              </w:rPr>
              <w:t>136 950,91</w:t>
            </w:r>
          </w:p>
        </w:tc>
        <w:tc>
          <w:tcPr>
            <w:tcW w:w="707" w:type="pct"/>
            <w:gridSpan w:val="2"/>
            <w:tcBorders>
              <w:top w:val="single" w:sz="12" w:space="0" w:color="auto"/>
              <w:left w:val="nil"/>
              <w:bottom w:val="single" w:sz="12" w:space="0" w:color="auto"/>
              <w:right w:val="single" w:sz="4" w:space="0" w:color="auto"/>
            </w:tcBorders>
            <w:shd w:val="clear" w:color="auto" w:fill="auto"/>
            <w:noWrap/>
            <w:vAlign w:val="bottom"/>
            <w:hideMark/>
          </w:tcPr>
          <w:p w14:paraId="5D6D0B83" w14:textId="77777777" w:rsidR="00AA3A5F" w:rsidRPr="007D69D6" w:rsidRDefault="00AA3A5F" w:rsidP="007A68D5">
            <w:pPr>
              <w:jc w:val="center"/>
              <w:rPr>
                <w:rFonts w:cs="Times New Roman"/>
                <w:b/>
                <w:bCs/>
                <w:color w:val="000000"/>
                <w:sz w:val="20"/>
                <w:szCs w:val="20"/>
                <w:lang w:val="cs-CZ"/>
              </w:rPr>
            </w:pPr>
            <w:r w:rsidRPr="007D69D6">
              <w:rPr>
                <w:rFonts w:cs="Times New Roman"/>
                <w:b/>
                <w:bCs/>
                <w:color w:val="000000"/>
                <w:sz w:val="20"/>
                <w:szCs w:val="20"/>
                <w:lang w:val="cs-CZ"/>
              </w:rPr>
              <w:t>142 796,37</w:t>
            </w:r>
          </w:p>
        </w:tc>
        <w:tc>
          <w:tcPr>
            <w:tcW w:w="707" w:type="pct"/>
            <w:gridSpan w:val="2"/>
            <w:tcBorders>
              <w:top w:val="single" w:sz="12" w:space="0" w:color="auto"/>
              <w:left w:val="nil"/>
              <w:bottom w:val="single" w:sz="12" w:space="0" w:color="auto"/>
              <w:right w:val="single" w:sz="4" w:space="0" w:color="auto"/>
            </w:tcBorders>
            <w:shd w:val="clear" w:color="auto" w:fill="auto"/>
            <w:noWrap/>
            <w:vAlign w:val="bottom"/>
            <w:hideMark/>
          </w:tcPr>
          <w:p w14:paraId="3B5F93C1" w14:textId="77777777" w:rsidR="00AA3A5F" w:rsidRPr="007D69D6" w:rsidRDefault="00AA3A5F" w:rsidP="007A68D5">
            <w:pPr>
              <w:jc w:val="center"/>
              <w:rPr>
                <w:rFonts w:cs="Times New Roman"/>
                <w:b/>
                <w:bCs/>
                <w:color w:val="000000"/>
                <w:sz w:val="20"/>
                <w:szCs w:val="20"/>
                <w:lang w:val="cs-CZ"/>
              </w:rPr>
            </w:pPr>
            <w:r w:rsidRPr="007D69D6">
              <w:rPr>
                <w:rFonts w:cs="Times New Roman"/>
                <w:b/>
                <w:bCs/>
                <w:color w:val="000000"/>
                <w:sz w:val="20"/>
                <w:szCs w:val="20"/>
                <w:lang w:val="cs-CZ"/>
              </w:rPr>
              <w:t>146 908,59</w:t>
            </w:r>
          </w:p>
        </w:tc>
        <w:tc>
          <w:tcPr>
            <w:tcW w:w="708" w:type="pct"/>
            <w:gridSpan w:val="2"/>
            <w:tcBorders>
              <w:top w:val="single" w:sz="12" w:space="0" w:color="auto"/>
              <w:left w:val="nil"/>
              <w:bottom w:val="single" w:sz="12" w:space="0" w:color="auto"/>
              <w:right w:val="nil"/>
            </w:tcBorders>
            <w:shd w:val="clear" w:color="auto" w:fill="auto"/>
            <w:noWrap/>
            <w:vAlign w:val="bottom"/>
            <w:hideMark/>
          </w:tcPr>
          <w:p w14:paraId="5CB433EB" w14:textId="77777777" w:rsidR="00AA3A5F" w:rsidRPr="007D69D6" w:rsidRDefault="00AA3A5F" w:rsidP="007A68D5">
            <w:pPr>
              <w:jc w:val="center"/>
              <w:rPr>
                <w:rFonts w:cs="Times New Roman"/>
                <w:b/>
                <w:bCs/>
                <w:color w:val="000000"/>
                <w:sz w:val="20"/>
                <w:szCs w:val="20"/>
                <w:lang w:val="cs-CZ"/>
              </w:rPr>
            </w:pPr>
            <w:r w:rsidRPr="007D69D6">
              <w:rPr>
                <w:rFonts w:cs="Times New Roman"/>
                <w:b/>
                <w:bCs/>
                <w:color w:val="000000"/>
                <w:sz w:val="20"/>
                <w:szCs w:val="20"/>
                <w:lang w:val="cs-CZ"/>
              </w:rPr>
              <w:t>190 436,17</w:t>
            </w:r>
          </w:p>
        </w:tc>
        <w:tc>
          <w:tcPr>
            <w:tcW w:w="710" w:type="pct"/>
            <w:tcBorders>
              <w:top w:val="single" w:sz="12" w:space="0" w:color="auto"/>
              <w:left w:val="single" w:sz="4" w:space="0" w:color="auto"/>
              <w:bottom w:val="single" w:sz="12" w:space="0" w:color="auto"/>
              <w:right w:val="single" w:sz="12" w:space="0" w:color="auto"/>
            </w:tcBorders>
            <w:shd w:val="clear" w:color="auto" w:fill="auto"/>
            <w:noWrap/>
            <w:vAlign w:val="bottom"/>
            <w:hideMark/>
          </w:tcPr>
          <w:p w14:paraId="0838B24A" w14:textId="77777777" w:rsidR="00AA3A5F" w:rsidRPr="007D69D6" w:rsidRDefault="00AA3A5F" w:rsidP="007A68D5">
            <w:pPr>
              <w:jc w:val="center"/>
              <w:rPr>
                <w:rFonts w:cs="Times New Roman"/>
                <w:b/>
                <w:bCs/>
                <w:color w:val="000000"/>
                <w:sz w:val="20"/>
                <w:szCs w:val="20"/>
                <w:lang w:val="cs-CZ"/>
              </w:rPr>
            </w:pPr>
            <w:r w:rsidRPr="007D69D6">
              <w:rPr>
                <w:rFonts w:cs="Times New Roman"/>
                <w:b/>
                <w:bCs/>
                <w:color w:val="000000"/>
                <w:sz w:val="20"/>
                <w:szCs w:val="20"/>
                <w:lang w:val="cs-CZ"/>
              </w:rPr>
              <w:t>196 064,43</w:t>
            </w:r>
          </w:p>
        </w:tc>
      </w:tr>
    </w:tbl>
    <w:p w14:paraId="2E716B39" w14:textId="77777777" w:rsidR="00AA3A5F" w:rsidRPr="00B25A22" w:rsidRDefault="00AA3A5F" w:rsidP="007D69D6">
      <w:pPr>
        <w:pStyle w:val="UZEIZdroj"/>
      </w:pPr>
      <w:r w:rsidRPr="00B25A22">
        <w:t>Pramen: SZIF</w:t>
      </w:r>
    </w:p>
    <w:p w14:paraId="502B2832" w14:textId="40AD376D" w:rsidR="00AA3A5F" w:rsidRPr="007D69D6" w:rsidRDefault="007D69D6" w:rsidP="007D69D6">
      <w:pPr>
        <w:pStyle w:val="UZEITaB"/>
      </w:pPr>
      <w:r>
        <w:rPr>
          <w:rStyle w:val="UZEINormalnChar"/>
          <w:rFonts w:cs="Arial"/>
          <w:sz w:val="20"/>
          <w:szCs w:val="20"/>
        </w:rPr>
        <w:t xml:space="preserve"> </w:t>
      </w:r>
      <w:bookmarkStart w:id="69" w:name="_Toc81743455"/>
      <w:r w:rsidR="00AA3A5F" w:rsidRPr="007D69D6">
        <w:rPr>
          <w:rStyle w:val="UZEINormalnChar"/>
          <w:rFonts w:cs="Arial"/>
          <w:sz w:val="20"/>
          <w:szCs w:val="20"/>
        </w:rPr>
        <w:t>Odbyt</w:t>
      </w:r>
      <w:r w:rsidR="00AA3A5F" w:rsidRPr="007D69D6">
        <w:t xml:space="preserve"> produkce organizací producentů - ovoce a zelenina (v %)</w:t>
      </w:r>
      <w:bookmarkEnd w:id="69"/>
    </w:p>
    <w:tbl>
      <w:tblPr>
        <w:tblW w:w="5025" w:type="pct"/>
        <w:tblInd w:w="-23" w:type="dxa"/>
        <w:tblCellMar>
          <w:left w:w="70" w:type="dxa"/>
          <w:right w:w="70" w:type="dxa"/>
        </w:tblCellMar>
        <w:tblLook w:val="04A0" w:firstRow="1" w:lastRow="0" w:firstColumn="1" w:lastColumn="0" w:noHBand="0" w:noVBand="1"/>
      </w:tblPr>
      <w:tblGrid>
        <w:gridCol w:w="4258"/>
        <w:gridCol w:w="772"/>
        <w:gridCol w:w="772"/>
        <w:gridCol w:w="193"/>
        <w:gridCol w:w="589"/>
        <w:gridCol w:w="798"/>
        <w:gridCol w:w="934"/>
        <w:gridCol w:w="771"/>
      </w:tblGrid>
      <w:tr w:rsidR="00AA3A5F" w:rsidRPr="007D69D6" w14:paraId="1EFAE6AA" w14:textId="77777777" w:rsidTr="007A68D5">
        <w:trPr>
          <w:trHeight w:val="315"/>
        </w:trPr>
        <w:tc>
          <w:tcPr>
            <w:tcW w:w="2343" w:type="pct"/>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22B1F2BD" w14:textId="77777777" w:rsidR="00AA3A5F" w:rsidRPr="007D69D6" w:rsidRDefault="00AA3A5F" w:rsidP="007A68D5">
            <w:pPr>
              <w:jc w:val="left"/>
              <w:rPr>
                <w:rFonts w:cs="Times New Roman"/>
                <w:b/>
                <w:bCs/>
                <w:sz w:val="20"/>
                <w:szCs w:val="20"/>
                <w:lang w:val="cs-CZ"/>
              </w:rPr>
            </w:pPr>
          </w:p>
        </w:tc>
        <w:tc>
          <w:tcPr>
            <w:tcW w:w="425" w:type="pct"/>
            <w:tcBorders>
              <w:top w:val="single" w:sz="12" w:space="0" w:color="auto"/>
              <w:left w:val="nil"/>
              <w:bottom w:val="single" w:sz="4" w:space="0" w:color="auto"/>
              <w:right w:val="single" w:sz="4" w:space="0" w:color="auto"/>
            </w:tcBorders>
            <w:shd w:val="clear" w:color="auto" w:fill="auto"/>
            <w:noWrap/>
            <w:vAlign w:val="bottom"/>
            <w:hideMark/>
          </w:tcPr>
          <w:p w14:paraId="1FB9F7B5" w14:textId="77777777" w:rsidR="00AA3A5F" w:rsidRPr="007D69D6" w:rsidRDefault="00AA3A5F" w:rsidP="007A68D5">
            <w:pPr>
              <w:jc w:val="center"/>
              <w:rPr>
                <w:rFonts w:cs="Times New Roman"/>
                <w:b/>
                <w:bCs/>
                <w:sz w:val="20"/>
                <w:szCs w:val="20"/>
                <w:lang w:val="cs-CZ"/>
              </w:rPr>
            </w:pPr>
            <w:r w:rsidRPr="007D69D6">
              <w:rPr>
                <w:rFonts w:cs="Times New Roman"/>
                <w:b/>
                <w:bCs/>
                <w:sz w:val="20"/>
                <w:szCs w:val="20"/>
                <w:lang w:val="cs-CZ"/>
              </w:rPr>
              <w:t>2012</w:t>
            </w:r>
          </w:p>
        </w:tc>
        <w:tc>
          <w:tcPr>
            <w:tcW w:w="425" w:type="pct"/>
            <w:tcBorders>
              <w:top w:val="single" w:sz="12" w:space="0" w:color="auto"/>
              <w:left w:val="nil"/>
              <w:bottom w:val="single" w:sz="4" w:space="0" w:color="auto"/>
              <w:right w:val="single" w:sz="4" w:space="0" w:color="auto"/>
            </w:tcBorders>
            <w:shd w:val="clear" w:color="auto" w:fill="auto"/>
            <w:noWrap/>
            <w:vAlign w:val="bottom"/>
            <w:hideMark/>
          </w:tcPr>
          <w:p w14:paraId="3C609353" w14:textId="77777777" w:rsidR="00AA3A5F" w:rsidRPr="007D69D6" w:rsidRDefault="00AA3A5F" w:rsidP="007A68D5">
            <w:pPr>
              <w:jc w:val="center"/>
              <w:rPr>
                <w:rFonts w:cs="Times New Roman"/>
                <w:b/>
                <w:bCs/>
                <w:sz w:val="20"/>
                <w:szCs w:val="20"/>
                <w:lang w:val="cs-CZ"/>
              </w:rPr>
            </w:pPr>
            <w:r w:rsidRPr="007D69D6">
              <w:rPr>
                <w:rFonts w:cs="Times New Roman"/>
                <w:b/>
                <w:bCs/>
                <w:sz w:val="20"/>
                <w:szCs w:val="20"/>
                <w:lang w:val="cs-CZ"/>
              </w:rPr>
              <w:t>2013</w:t>
            </w:r>
          </w:p>
        </w:tc>
        <w:tc>
          <w:tcPr>
            <w:tcW w:w="106" w:type="pct"/>
            <w:tcBorders>
              <w:top w:val="single" w:sz="12" w:space="0" w:color="auto"/>
              <w:left w:val="nil"/>
              <w:bottom w:val="single" w:sz="4" w:space="0" w:color="auto"/>
              <w:right w:val="nil"/>
            </w:tcBorders>
          </w:tcPr>
          <w:p w14:paraId="6000B64F" w14:textId="77777777" w:rsidR="00AA3A5F" w:rsidRPr="007D69D6" w:rsidRDefault="00AA3A5F" w:rsidP="007A68D5">
            <w:pPr>
              <w:jc w:val="center"/>
              <w:rPr>
                <w:rFonts w:cs="Times New Roman"/>
                <w:b/>
                <w:bCs/>
                <w:sz w:val="20"/>
                <w:szCs w:val="20"/>
                <w:lang w:val="cs-CZ"/>
              </w:rPr>
            </w:pPr>
          </w:p>
        </w:tc>
        <w:tc>
          <w:tcPr>
            <w:tcW w:w="324" w:type="pct"/>
            <w:tcBorders>
              <w:top w:val="single" w:sz="12" w:space="0" w:color="auto"/>
              <w:left w:val="nil"/>
              <w:bottom w:val="single" w:sz="4" w:space="0" w:color="auto"/>
              <w:right w:val="single" w:sz="4" w:space="0" w:color="auto"/>
            </w:tcBorders>
            <w:shd w:val="clear" w:color="auto" w:fill="auto"/>
            <w:noWrap/>
            <w:vAlign w:val="bottom"/>
            <w:hideMark/>
          </w:tcPr>
          <w:p w14:paraId="165EE8C4" w14:textId="77777777" w:rsidR="00AA3A5F" w:rsidRPr="007D69D6" w:rsidRDefault="00AA3A5F" w:rsidP="007A68D5">
            <w:pPr>
              <w:jc w:val="center"/>
              <w:rPr>
                <w:rFonts w:cs="Times New Roman"/>
                <w:b/>
                <w:bCs/>
                <w:sz w:val="20"/>
                <w:szCs w:val="20"/>
                <w:lang w:val="cs-CZ"/>
              </w:rPr>
            </w:pPr>
            <w:r w:rsidRPr="007D69D6">
              <w:rPr>
                <w:rFonts w:cs="Times New Roman"/>
                <w:b/>
                <w:bCs/>
                <w:sz w:val="20"/>
                <w:szCs w:val="20"/>
                <w:lang w:val="cs-CZ"/>
              </w:rPr>
              <w:t>2014</w:t>
            </w:r>
          </w:p>
        </w:tc>
        <w:tc>
          <w:tcPr>
            <w:tcW w:w="439" w:type="pct"/>
            <w:tcBorders>
              <w:top w:val="single" w:sz="12" w:space="0" w:color="auto"/>
              <w:left w:val="nil"/>
              <w:bottom w:val="single" w:sz="4" w:space="0" w:color="auto"/>
              <w:right w:val="single" w:sz="4" w:space="0" w:color="auto"/>
            </w:tcBorders>
            <w:shd w:val="clear" w:color="auto" w:fill="auto"/>
            <w:noWrap/>
            <w:vAlign w:val="bottom"/>
            <w:hideMark/>
          </w:tcPr>
          <w:p w14:paraId="5214688A" w14:textId="77777777" w:rsidR="00AA3A5F" w:rsidRPr="007D69D6" w:rsidRDefault="00AA3A5F" w:rsidP="007A68D5">
            <w:pPr>
              <w:jc w:val="center"/>
              <w:rPr>
                <w:rFonts w:cs="Times New Roman"/>
                <w:b/>
                <w:bCs/>
                <w:sz w:val="20"/>
                <w:szCs w:val="20"/>
                <w:lang w:val="cs-CZ"/>
              </w:rPr>
            </w:pPr>
            <w:r w:rsidRPr="007D69D6">
              <w:rPr>
                <w:rFonts w:cs="Times New Roman"/>
                <w:b/>
                <w:bCs/>
                <w:sz w:val="20"/>
                <w:szCs w:val="20"/>
                <w:lang w:val="cs-CZ"/>
              </w:rPr>
              <w:t>2015</w:t>
            </w:r>
          </w:p>
        </w:tc>
        <w:tc>
          <w:tcPr>
            <w:tcW w:w="514" w:type="pct"/>
            <w:tcBorders>
              <w:top w:val="single" w:sz="12" w:space="0" w:color="auto"/>
              <w:left w:val="nil"/>
              <w:bottom w:val="single" w:sz="4" w:space="0" w:color="auto"/>
              <w:right w:val="single" w:sz="4" w:space="0" w:color="auto"/>
            </w:tcBorders>
            <w:shd w:val="clear" w:color="auto" w:fill="auto"/>
            <w:noWrap/>
            <w:vAlign w:val="bottom"/>
            <w:hideMark/>
          </w:tcPr>
          <w:p w14:paraId="73FB5EF4" w14:textId="77777777" w:rsidR="00AA3A5F" w:rsidRPr="007D69D6" w:rsidRDefault="00AA3A5F" w:rsidP="007A68D5">
            <w:pPr>
              <w:jc w:val="center"/>
              <w:rPr>
                <w:rFonts w:cs="Times New Roman"/>
                <w:b/>
                <w:bCs/>
                <w:sz w:val="20"/>
                <w:szCs w:val="20"/>
                <w:lang w:val="cs-CZ"/>
              </w:rPr>
            </w:pPr>
            <w:r w:rsidRPr="007D69D6">
              <w:rPr>
                <w:rFonts w:cs="Times New Roman"/>
                <w:b/>
                <w:bCs/>
                <w:sz w:val="20"/>
                <w:szCs w:val="20"/>
                <w:lang w:val="cs-CZ"/>
              </w:rPr>
              <w:t>2016</w:t>
            </w:r>
          </w:p>
        </w:tc>
        <w:tc>
          <w:tcPr>
            <w:tcW w:w="424" w:type="pct"/>
            <w:tcBorders>
              <w:top w:val="single" w:sz="12" w:space="0" w:color="auto"/>
              <w:left w:val="nil"/>
              <w:bottom w:val="single" w:sz="4" w:space="0" w:color="auto"/>
              <w:right w:val="single" w:sz="12" w:space="0" w:color="auto"/>
            </w:tcBorders>
            <w:shd w:val="clear" w:color="auto" w:fill="auto"/>
            <w:noWrap/>
            <w:vAlign w:val="bottom"/>
            <w:hideMark/>
          </w:tcPr>
          <w:p w14:paraId="0D76BB44" w14:textId="77777777" w:rsidR="00AA3A5F" w:rsidRPr="007D69D6" w:rsidRDefault="00AA3A5F" w:rsidP="007A68D5">
            <w:pPr>
              <w:jc w:val="center"/>
              <w:rPr>
                <w:rFonts w:cs="Times New Roman"/>
                <w:b/>
                <w:bCs/>
                <w:sz w:val="20"/>
                <w:szCs w:val="20"/>
                <w:lang w:val="cs-CZ"/>
              </w:rPr>
            </w:pPr>
            <w:r w:rsidRPr="007D69D6">
              <w:rPr>
                <w:rFonts w:cs="Times New Roman"/>
                <w:b/>
                <w:bCs/>
                <w:sz w:val="20"/>
                <w:szCs w:val="20"/>
                <w:lang w:val="cs-CZ"/>
              </w:rPr>
              <w:t>2017</w:t>
            </w:r>
          </w:p>
        </w:tc>
      </w:tr>
      <w:tr w:rsidR="00AA3A5F" w:rsidRPr="007D69D6" w14:paraId="3DDE190B" w14:textId="77777777" w:rsidTr="007A68D5">
        <w:trPr>
          <w:trHeight w:val="300"/>
        </w:trPr>
        <w:tc>
          <w:tcPr>
            <w:tcW w:w="234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1A6FBBC3" w14:textId="77777777" w:rsidR="00AA3A5F" w:rsidRPr="007D69D6" w:rsidRDefault="00AA3A5F" w:rsidP="007A68D5">
            <w:pPr>
              <w:jc w:val="left"/>
              <w:rPr>
                <w:rFonts w:cs="Times New Roman"/>
                <w:b/>
                <w:bCs/>
                <w:sz w:val="20"/>
                <w:szCs w:val="20"/>
                <w:lang w:val="cs-CZ"/>
              </w:rPr>
            </w:pPr>
            <w:r w:rsidRPr="007D69D6">
              <w:rPr>
                <w:rFonts w:cs="Times New Roman"/>
                <w:b/>
                <w:bCs/>
                <w:sz w:val="20"/>
                <w:szCs w:val="20"/>
                <w:lang w:val="cs-CZ"/>
              </w:rPr>
              <w:t>Produkce zpracovaná přímo OP</w:t>
            </w:r>
          </w:p>
        </w:tc>
        <w:tc>
          <w:tcPr>
            <w:tcW w:w="425" w:type="pct"/>
            <w:tcBorders>
              <w:top w:val="single" w:sz="4" w:space="0" w:color="auto"/>
              <w:left w:val="nil"/>
              <w:bottom w:val="single" w:sz="4" w:space="0" w:color="auto"/>
              <w:right w:val="single" w:sz="4" w:space="0" w:color="auto"/>
            </w:tcBorders>
            <w:shd w:val="clear" w:color="auto" w:fill="auto"/>
            <w:noWrap/>
            <w:vAlign w:val="bottom"/>
            <w:hideMark/>
          </w:tcPr>
          <w:p w14:paraId="4B82DD90"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6,0</w:t>
            </w:r>
          </w:p>
        </w:tc>
        <w:tc>
          <w:tcPr>
            <w:tcW w:w="425" w:type="pct"/>
            <w:tcBorders>
              <w:top w:val="single" w:sz="4" w:space="0" w:color="auto"/>
              <w:left w:val="nil"/>
              <w:bottom w:val="single" w:sz="4" w:space="0" w:color="auto"/>
              <w:right w:val="single" w:sz="4" w:space="0" w:color="auto"/>
            </w:tcBorders>
            <w:shd w:val="clear" w:color="auto" w:fill="auto"/>
            <w:noWrap/>
            <w:vAlign w:val="bottom"/>
            <w:hideMark/>
          </w:tcPr>
          <w:p w14:paraId="767AC037"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7,0</w:t>
            </w:r>
          </w:p>
        </w:tc>
        <w:tc>
          <w:tcPr>
            <w:tcW w:w="106" w:type="pct"/>
            <w:tcBorders>
              <w:top w:val="single" w:sz="4" w:space="0" w:color="auto"/>
              <w:left w:val="nil"/>
              <w:bottom w:val="single" w:sz="4" w:space="0" w:color="auto"/>
              <w:right w:val="nil"/>
            </w:tcBorders>
          </w:tcPr>
          <w:p w14:paraId="5E2CF531" w14:textId="77777777" w:rsidR="00AA3A5F" w:rsidRPr="007D69D6" w:rsidRDefault="00AA3A5F" w:rsidP="007A68D5">
            <w:pPr>
              <w:jc w:val="center"/>
              <w:rPr>
                <w:rFonts w:cs="Times New Roman"/>
                <w:sz w:val="20"/>
                <w:szCs w:val="20"/>
                <w:lang w:val="cs-CZ"/>
              </w:rPr>
            </w:pPr>
          </w:p>
        </w:tc>
        <w:tc>
          <w:tcPr>
            <w:tcW w:w="324" w:type="pct"/>
            <w:tcBorders>
              <w:top w:val="single" w:sz="4" w:space="0" w:color="auto"/>
              <w:left w:val="nil"/>
              <w:bottom w:val="single" w:sz="4" w:space="0" w:color="auto"/>
              <w:right w:val="single" w:sz="4" w:space="0" w:color="auto"/>
            </w:tcBorders>
            <w:shd w:val="clear" w:color="auto" w:fill="auto"/>
            <w:noWrap/>
            <w:vAlign w:val="bottom"/>
            <w:hideMark/>
          </w:tcPr>
          <w:p w14:paraId="7DC73256"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6,7</w:t>
            </w:r>
          </w:p>
        </w:tc>
        <w:tc>
          <w:tcPr>
            <w:tcW w:w="439" w:type="pct"/>
            <w:tcBorders>
              <w:top w:val="single" w:sz="4" w:space="0" w:color="auto"/>
              <w:left w:val="nil"/>
              <w:bottom w:val="single" w:sz="4" w:space="0" w:color="auto"/>
              <w:right w:val="single" w:sz="4" w:space="0" w:color="auto"/>
            </w:tcBorders>
            <w:shd w:val="clear" w:color="auto" w:fill="auto"/>
            <w:noWrap/>
            <w:vAlign w:val="bottom"/>
            <w:hideMark/>
          </w:tcPr>
          <w:p w14:paraId="5DE30FC4"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6,4</w:t>
            </w:r>
          </w:p>
        </w:tc>
        <w:tc>
          <w:tcPr>
            <w:tcW w:w="514" w:type="pct"/>
            <w:tcBorders>
              <w:top w:val="single" w:sz="4" w:space="0" w:color="auto"/>
              <w:left w:val="nil"/>
              <w:bottom w:val="single" w:sz="4" w:space="0" w:color="auto"/>
              <w:right w:val="single" w:sz="4" w:space="0" w:color="auto"/>
            </w:tcBorders>
            <w:shd w:val="clear" w:color="auto" w:fill="auto"/>
            <w:noWrap/>
            <w:vAlign w:val="bottom"/>
            <w:hideMark/>
          </w:tcPr>
          <w:p w14:paraId="6AE0BC39"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6,2</w:t>
            </w:r>
          </w:p>
        </w:tc>
        <w:tc>
          <w:tcPr>
            <w:tcW w:w="424" w:type="pct"/>
            <w:tcBorders>
              <w:top w:val="single" w:sz="4" w:space="0" w:color="auto"/>
              <w:left w:val="nil"/>
              <w:bottom w:val="single" w:sz="4" w:space="0" w:color="auto"/>
              <w:right w:val="single" w:sz="12" w:space="0" w:color="auto"/>
            </w:tcBorders>
            <w:shd w:val="clear" w:color="auto" w:fill="auto"/>
            <w:noWrap/>
            <w:vAlign w:val="bottom"/>
            <w:hideMark/>
          </w:tcPr>
          <w:p w14:paraId="4AA1D7BC"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5,5</w:t>
            </w:r>
          </w:p>
        </w:tc>
      </w:tr>
      <w:tr w:rsidR="00AA3A5F" w:rsidRPr="007D69D6" w14:paraId="3848077F" w14:textId="77777777" w:rsidTr="007A68D5">
        <w:trPr>
          <w:trHeight w:val="300"/>
        </w:trPr>
        <w:tc>
          <w:tcPr>
            <w:tcW w:w="234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0C739B5B" w14:textId="77777777" w:rsidR="00AA3A5F" w:rsidRPr="007D69D6" w:rsidRDefault="00AA3A5F" w:rsidP="007A68D5">
            <w:pPr>
              <w:jc w:val="left"/>
              <w:rPr>
                <w:rFonts w:cs="Times New Roman"/>
                <w:b/>
                <w:bCs/>
                <w:sz w:val="20"/>
                <w:szCs w:val="20"/>
                <w:lang w:val="cs-CZ"/>
              </w:rPr>
            </w:pPr>
            <w:r w:rsidRPr="007D69D6">
              <w:rPr>
                <w:rFonts w:cs="Times New Roman"/>
                <w:b/>
                <w:bCs/>
                <w:sz w:val="20"/>
                <w:szCs w:val="20"/>
                <w:lang w:val="cs-CZ"/>
              </w:rPr>
              <w:lastRenderedPageBreak/>
              <w:t>Obchodní řetězce/supermarkety</w:t>
            </w:r>
          </w:p>
        </w:tc>
        <w:tc>
          <w:tcPr>
            <w:tcW w:w="425" w:type="pct"/>
            <w:tcBorders>
              <w:top w:val="single" w:sz="4" w:space="0" w:color="auto"/>
              <w:left w:val="nil"/>
              <w:bottom w:val="single" w:sz="4" w:space="0" w:color="auto"/>
              <w:right w:val="single" w:sz="4" w:space="0" w:color="auto"/>
            </w:tcBorders>
            <w:shd w:val="clear" w:color="auto" w:fill="auto"/>
            <w:noWrap/>
            <w:vAlign w:val="bottom"/>
            <w:hideMark/>
          </w:tcPr>
          <w:p w14:paraId="4A1BBC2A"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30,0</w:t>
            </w:r>
          </w:p>
        </w:tc>
        <w:tc>
          <w:tcPr>
            <w:tcW w:w="425" w:type="pct"/>
            <w:tcBorders>
              <w:top w:val="single" w:sz="4" w:space="0" w:color="auto"/>
              <w:left w:val="nil"/>
              <w:bottom w:val="single" w:sz="4" w:space="0" w:color="auto"/>
              <w:right w:val="single" w:sz="4" w:space="0" w:color="auto"/>
            </w:tcBorders>
            <w:shd w:val="clear" w:color="auto" w:fill="auto"/>
            <w:noWrap/>
            <w:vAlign w:val="bottom"/>
            <w:hideMark/>
          </w:tcPr>
          <w:p w14:paraId="250E6363"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28,0</w:t>
            </w:r>
          </w:p>
        </w:tc>
        <w:tc>
          <w:tcPr>
            <w:tcW w:w="106" w:type="pct"/>
            <w:tcBorders>
              <w:top w:val="single" w:sz="4" w:space="0" w:color="auto"/>
              <w:left w:val="nil"/>
              <w:bottom w:val="single" w:sz="4" w:space="0" w:color="auto"/>
              <w:right w:val="nil"/>
            </w:tcBorders>
          </w:tcPr>
          <w:p w14:paraId="3407956C" w14:textId="77777777" w:rsidR="00AA3A5F" w:rsidRPr="007D69D6" w:rsidRDefault="00AA3A5F" w:rsidP="007A68D5">
            <w:pPr>
              <w:jc w:val="center"/>
              <w:rPr>
                <w:rFonts w:cs="Times New Roman"/>
                <w:sz w:val="20"/>
                <w:szCs w:val="20"/>
                <w:lang w:val="cs-CZ"/>
              </w:rPr>
            </w:pPr>
          </w:p>
        </w:tc>
        <w:tc>
          <w:tcPr>
            <w:tcW w:w="324" w:type="pct"/>
            <w:tcBorders>
              <w:top w:val="single" w:sz="4" w:space="0" w:color="auto"/>
              <w:left w:val="nil"/>
              <w:bottom w:val="single" w:sz="4" w:space="0" w:color="auto"/>
              <w:right w:val="single" w:sz="4" w:space="0" w:color="auto"/>
            </w:tcBorders>
            <w:shd w:val="clear" w:color="auto" w:fill="auto"/>
            <w:noWrap/>
            <w:vAlign w:val="bottom"/>
            <w:hideMark/>
          </w:tcPr>
          <w:p w14:paraId="21FC1C83"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31,3</w:t>
            </w:r>
          </w:p>
        </w:tc>
        <w:tc>
          <w:tcPr>
            <w:tcW w:w="439" w:type="pct"/>
            <w:tcBorders>
              <w:top w:val="single" w:sz="4" w:space="0" w:color="auto"/>
              <w:left w:val="nil"/>
              <w:bottom w:val="single" w:sz="4" w:space="0" w:color="auto"/>
              <w:right w:val="single" w:sz="4" w:space="0" w:color="auto"/>
            </w:tcBorders>
            <w:shd w:val="clear" w:color="auto" w:fill="auto"/>
            <w:noWrap/>
            <w:vAlign w:val="bottom"/>
            <w:hideMark/>
          </w:tcPr>
          <w:p w14:paraId="5FDEA3FB"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32,9</w:t>
            </w:r>
          </w:p>
        </w:tc>
        <w:tc>
          <w:tcPr>
            <w:tcW w:w="514" w:type="pct"/>
            <w:tcBorders>
              <w:top w:val="single" w:sz="4" w:space="0" w:color="auto"/>
              <w:left w:val="nil"/>
              <w:bottom w:val="single" w:sz="4" w:space="0" w:color="auto"/>
              <w:right w:val="single" w:sz="4" w:space="0" w:color="auto"/>
            </w:tcBorders>
            <w:shd w:val="clear" w:color="auto" w:fill="auto"/>
            <w:noWrap/>
            <w:vAlign w:val="bottom"/>
            <w:hideMark/>
          </w:tcPr>
          <w:p w14:paraId="7B45BE94"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29,9</w:t>
            </w:r>
          </w:p>
        </w:tc>
        <w:tc>
          <w:tcPr>
            <w:tcW w:w="424" w:type="pct"/>
            <w:tcBorders>
              <w:top w:val="single" w:sz="4" w:space="0" w:color="auto"/>
              <w:left w:val="nil"/>
              <w:bottom w:val="single" w:sz="4" w:space="0" w:color="auto"/>
              <w:right w:val="single" w:sz="12" w:space="0" w:color="auto"/>
            </w:tcBorders>
            <w:shd w:val="clear" w:color="auto" w:fill="auto"/>
            <w:noWrap/>
            <w:vAlign w:val="bottom"/>
            <w:hideMark/>
          </w:tcPr>
          <w:p w14:paraId="3DAD3145"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28,9</w:t>
            </w:r>
          </w:p>
        </w:tc>
      </w:tr>
      <w:tr w:rsidR="00AA3A5F" w:rsidRPr="007D69D6" w14:paraId="5B89030C" w14:textId="77777777" w:rsidTr="007A68D5">
        <w:trPr>
          <w:trHeight w:val="300"/>
        </w:trPr>
        <w:tc>
          <w:tcPr>
            <w:tcW w:w="234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3E546E66" w14:textId="77777777" w:rsidR="00AA3A5F" w:rsidRPr="007D69D6" w:rsidRDefault="00AA3A5F" w:rsidP="007A68D5">
            <w:pPr>
              <w:jc w:val="left"/>
              <w:rPr>
                <w:rFonts w:cs="Times New Roman"/>
                <w:b/>
                <w:bCs/>
                <w:sz w:val="20"/>
                <w:szCs w:val="20"/>
                <w:lang w:val="cs-CZ"/>
              </w:rPr>
            </w:pPr>
            <w:r w:rsidRPr="007D69D6">
              <w:rPr>
                <w:rFonts w:cs="Times New Roman"/>
                <w:b/>
                <w:bCs/>
                <w:sz w:val="20"/>
                <w:szCs w:val="20"/>
                <w:lang w:val="cs-CZ"/>
              </w:rPr>
              <w:t>Maloobchod</w:t>
            </w:r>
          </w:p>
        </w:tc>
        <w:tc>
          <w:tcPr>
            <w:tcW w:w="425" w:type="pct"/>
            <w:tcBorders>
              <w:top w:val="single" w:sz="4" w:space="0" w:color="auto"/>
              <w:left w:val="nil"/>
              <w:bottom w:val="single" w:sz="4" w:space="0" w:color="auto"/>
              <w:right w:val="single" w:sz="4" w:space="0" w:color="auto"/>
            </w:tcBorders>
            <w:shd w:val="clear" w:color="auto" w:fill="auto"/>
            <w:noWrap/>
            <w:vAlign w:val="bottom"/>
            <w:hideMark/>
          </w:tcPr>
          <w:p w14:paraId="481C2209"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6,0</w:t>
            </w:r>
          </w:p>
        </w:tc>
        <w:tc>
          <w:tcPr>
            <w:tcW w:w="425" w:type="pct"/>
            <w:tcBorders>
              <w:top w:val="single" w:sz="4" w:space="0" w:color="auto"/>
              <w:left w:val="nil"/>
              <w:bottom w:val="single" w:sz="4" w:space="0" w:color="auto"/>
              <w:right w:val="single" w:sz="4" w:space="0" w:color="auto"/>
            </w:tcBorders>
            <w:shd w:val="clear" w:color="auto" w:fill="auto"/>
            <w:noWrap/>
            <w:vAlign w:val="bottom"/>
            <w:hideMark/>
          </w:tcPr>
          <w:p w14:paraId="7A528B15"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6,0</w:t>
            </w:r>
          </w:p>
        </w:tc>
        <w:tc>
          <w:tcPr>
            <w:tcW w:w="106" w:type="pct"/>
            <w:tcBorders>
              <w:top w:val="single" w:sz="4" w:space="0" w:color="auto"/>
              <w:left w:val="nil"/>
              <w:bottom w:val="single" w:sz="4" w:space="0" w:color="auto"/>
              <w:right w:val="nil"/>
            </w:tcBorders>
          </w:tcPr>
          <w:p w14:paraId="4BAEA056" w14:textId="77777777" w:rsidR="00AA3A5F" w:rsidRPr="007D69D6" w:rsidRDefault="00AA3A5F" w:rsidP="007A68D5">
            <w:pPr>
              <w:jc w:val="center"/>
              <w:rPr>
                <w:rFonts w:cs="Times New Roman"/>
                <w:sz w:val="20"/>
                <w:szCs w:val="20"/>
                <w:lang w:val="cs-CZ"/>
              </w:rPr>
            </w:pPr>
          </w:p>
        </w:tc>
        <w:tc>
          <w:tcPr>
            <w:tcW w:w="324" w:type="pct"/>
            <w:tcBorders>
              <w:top w:val="single" w:sz="4" w:space="0" w:color="auto"/>
              <w:left w:val="nil"/>
              <w:bottom w:val="single" w:sz="4" w:space="0" w:color="auto"/>
              <w:right w:val="single" w:sz="4" w:space="0" w:color="auto"/>
            </w:tcBorders>
            <w:shd w:val="clear" w:color="auto" w:fill="auto"/>
            <w:noWrap/>
            <w:vAlign w:val="bottom"/>
            <w:hideMark/>
          </w:tcPr>
          <w:p w14:paraId="0549D8E4"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6,3</w:t>
            </w:r>
          </w:p>
        </w:tc>
        <w:tc>
          <w:tcPr>
            <w:tcW w:w="439" w:type="pct"/>
            <w:tcBorders>
              <w:top w:val="single" w:sz="4" w:space="0" w:color="auto"/>
              <w:left w:val="nil"/>
              <w:bottom w:val="single" w:sz="4" w:space="0" w:color="auto"/>
              <w:right w:val="single" w:sz="4" w:space="0" w:color="auto"/>
            </w:tcBorders>
            <w:shd w:val="clear" w:color="auto" w:fill="auto"/>
            <w:noWrap/>
            <w:vAlign w:val="bottom"/>
            <w:hideMark/>
          </w:tcPr>
          <w:p w14:paraId="7D12478A"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4,9</w:t>
            </w:r>
          </w:p>
        </w:tc>
        <w:tc>
          <w:tcPr>
            <w:tcW w:w="514" w:type="pct"/>
            <w:tcBorders>
              <w:top w:val="single" w:sz="4" w:space="0" w:color="auto"/>
              <w:left w:val="nil"/>
              <w:bottom w:val="single" w:sz="4" w:space="0" w:color="auto"/>
              <w:right w:val="single" w:sz="4" w:space="0" w:color="auto"/>
            </w:tcBorders>
            <w:shd w:val="clear" w:color="auto" w:fill="auto"/>
            <w:noWrap/>
            <w:vAlign w:val="bottom"/>
            <w:hideMark/>
          </w:tcPr>
          <w:p w14:paraId="414F797C"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3,9</w:t>
            </w:r>
          </w:p>
        </w:tc>
        <w:tc>
          <w:tcPr>
            <w:tcW w:w="424" w:type="pct"/>
            <w:tcBorders>
              <w:top w:val="single" w:sz="4" w:space="0" w:color="auto"/>
              <w:left w:val="nil"/>
              <w:bottom w:val="single" w:sz="4" w:space="0" w:color="auto"/>
              <w:right w:val="single" w:sz="12" w:space="0" w:color="auto"/>
            </w:tcBorders>
            <w:shd w:val="clear" w:color="auto" w:fill="auto"/>
            <w:noWrap/>
            <w:vAlign w:val="bottom"/>
            <w:hideMark/>
          </w:tcPr>
          <w:p w14:paraId="20F469BC"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5,8</w:t>
            </w:r>
          </w:p>
        </w:tc>
      </w:tr>
      <w:tr w:rsidR="00AA3A5F" w:rsidRPr="007D69D6" w14:paraId="646A2AB2" w14:textId="77777777" w:rsidTr="007A68D5">
        <w:trPr>
          <w:trHeight w:val="300"/>
        </w:trPr>
        <w:tc>
          <w:tcPr>
            <w:tcW w:w="234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3246D494" w14:textId="77777777" w:rsidR="00AA3A5F" w:rsidRPr="007D69D6" w:rsidRDefault="00AA3A5F" w:rsidP="007A68D5">
            <w:pPr>
              <w:jc w:val="left"/>
              <w:rPr>
                <w:rFonts w:cs="Times New Roman"/>
                <w:b/>
                <w:bCs/>
                <w:sz w:val="20"/>
                <w:szCs w:val="20"/>
                <w:lang w:val="cs-CZ"/>
              </w:rPr>
            </w:pPr>
            <w:r w:rsidRPr="007D69D6">
              <w:rPr>
                <w:rFonts w:cs="Times New Roman"/>
                <w:b/>
                <w:bCs/>
                <w:sz w:val="20"/>
                <w:szCs w:val="20"/>
                <w:lang w:val="cs-CZ"/>
              </w:rPr>
              <w:t>Prodej zpracovatelům</w:t>
            </w:r>
          </w:p>
        </w:tc>
        <w:tc>
          <w:tcPr>
            <w:tcW w:w="425" w:type="pct"/>
            <w:tcBorders>
              <w:top w:val="single" w:sz="4" w:space="0" w:color="auto"/>
              <w:left w:val="nil"/>
              <w:bottom w:val="single" w:sz="4" w:space="0" w:color="auto"/>
              <w:right w:val="single" w:sz="4" w:space="0" w:color="auto"/>
            </w:tcBorders>
            <w:shd w:val="clear" w:color="auto" w:fill="auto"/>
            <w:noWrap/>
            <w:vAlign w:val="bottom"/>
            <w:hideMark/>
          </w:tcPr>
          <w:p w14:paraId="6255F6D9"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12,0</w:t>
            </w:r>
          </w:p>
        </w:tc>
        <w:tc>
          <w:tcPr>
            <w:tcW w:w="425" w:type="pct"/>
            <w:tcBorders>
              <w:top w:val="single" w:sz="4" w:space="0" w:color="auto"/>
              <w:left w:val="nil"/>
              <w:bottom w:val="single" w:sz="4" w:space="0" w:color="auto"/>
              <w:right w:val="single" w:sz="4" w:space="0" w:color="auto"/>
            </w:tcBorders>
            <w:shd w:val="clear" w:color="auto" w:fill="auto"/>
            <w:noWrap/>
            <w:vAlign w:val="bottom"/>
            <w:hideMark/>
          </w:tcPr>
          <w:p w14:paraId="16EBCECE"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13,0</w:t>
            </w:r>
          </w:p>
        </w:tc>
        <w:tc>
          <w:tcPr>
            <w:tcW w:w="106" w:type="pct"/>
            <w:tcBorders>
              <w:top w:val="single" w:sz="4" w:space="0" w:color="auto"/>
              <w:left w:val="nil"/>
              <w:bottom w:val="single" w:sz="4" w:space="0" w:color="auto"/>
              <w:right w:val="nil"/>
            </w:tcBorders>
          </w:tcPr>
          <w:p w14:paraId="6F6984DB" w14:textId="77777777" w:rsidR="00AA3A5F" w:rsidRPr="007D69D6" w:rsidRDefault="00AA3A5F" w:rsidP="007A68D5">
            <w:pPr>
              <w:jc w:val="center"/>
              <w:rPr>
                <w:rFonts w:cs="Times New Roman"/>
                <w:sz w:val="20"/>
                <w:szCs w:val="20"/>
                <w:lang w:val="cs-CZ"/>
              </w:rPr>
            </w:pPr>
          </w:p>
        </w:tc>
        <w:tc>
          <w:tcPr>
            <w:tcW w:w="324" w:type="pct"/>
            <w:tcBorders>
              <w:top w:val="single" w:sz="4" w:space="0" w:color="auto"/>
              <w:left w:val="nil"/>
              <w:bottom w:val="single" w:sz="4" w:space="0" w:color="auto"/>
              <w:right w:val="single" w:sz="4" w:space="0" w:color="auto"/>
            </w:tcBorders>
            <w:shd w:val="clear" w:color="auto" w:fill="auto"/>
            <w:noWrap/>
            <w:vAlign w:val="bottom"/>
            <w:hideMark/>
          </w:tcPr>
          <w:p w14:paraId="3E1AC576"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8,6</w:t>
            </w:r>
          </w:p>
        </w:tc>
        <w:tc>
          <w:tcPr>
            <w:tcW w:w="439" w:type="pct"/>
            <w:tcBorders>
              <w:top w:val="single" w:sz="4" w:space="0" w:color="auto"/>
              <w:left w:val="nil"/>
              <w:bottom w:val="single" w:sz="4" w:space="0" w:color="auto"/>
              <w:right w:val="single" w:sz="4" w:space="0" w:color="auto"/>
            </w:tcBorders>
            <w:shd w:val="clear" w:color="auto" w:fill="auto"/>
            <w:noWrap/>
            <w:vAlign w:val="bottom"/>
            <w:hideMark/>
          </w:tcPr>
          <w:p w14:paraId="24161C1B"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10,7</w:t>
            </w:r>
          </w:p>
        </w:tc>
        <w:tc>
          <w:tcPr>
            <w:tcW w:w="514" w:type="pct"/>
            <w:tcBorders>
              <w:top w:val="single" w:sz="4" w:space="0" w:color="auto"/>
              <w:left w:val="nil"/>
              <w:bottom w:val="single" w:sz="4" w:space="0" w:color="auto"/>
              <w:right w:val="single" w:sz="4" w:space="0" w:color="auto"/>
            </w:tcBorders>
            <w:shd w:val="clear" w:color="auto" w:fill="auto"/>
            <w:noWrap/>
            <w:vAlign w:val="bottom"/>
            <w:hideMark/>
          </w:tcPr>
          <w:p w14:paraId="7F410249"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10,2</w:t>
            </w:r>
          </w:p>
        </w:tc>
        <w:tc>
          <w:tcPr>
            <w:tcW w:w="424" w:type="pct"/>
            <w:tcBorders>
              <w:top w:val="single" w:sz="4" w:space="0" w:color="auto"/>
              <w:left w:val="nil"/>
              <w:bottom w:val="single" w:sz="4" w:space="0" w:color="auto"/>
              <w:right w:val="single" w:sz="12" w:space="0" w:color="auto"/>
            </w:tcBorders>
            <w:shd w:val="clear" w:color="auto" w:fill="auto"/>
            <w:noWrap/>
            <w:vAlign w:val="bottom"/>
            <w:hideMark/>
          </w:tcPr>
          <w:p w14:paraId="7C01997C"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17,5</w:t>
            </w:r>
          </w:p>
        </w:tc>
      </w:tr>
      <w:tr w:rsidR="00AA3A5F" w:rsidRPr="007D69D6" w14:paraId="6F4EA6B9" w14:textId="77777777" w:rsidTr="007A68D5">
        <w:trPr>
          <w:trHeight w:val="300"/>
        </w:trPr>
        <w:tc>
          <w:tcPr>
            <w:tcW w:w="2343" w:type="pct"/>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57F4EA38" w14:textId="77777777" w:rsidR="00AA3A5F" w:rsidRPr="007D69D6" w:rsidRDefault="00AA3A5F" w:rsidP="007A68D5">
            <w:pPr>
              <w:jc w:val="left"/>
              <w:rPr>
                <w:rFonts w:cs="Times New Roman"/>
                <w:b/>
                <w:bCs/>
                <w:sz w:val="20"/>
                <w:szCs w:val="20"/>
                <w:lang w:val="cs-CZ"/>
              </w:rPr>
            </w:pPr>
            <w:r w:rsidRPr="007D69D6">
              <w:rPr>
                <w:rFonts w:cs="Times New Roman"/>
                <w:b/>
                <w:bCs/>
                <w:sz w:val="20"/>
                <w:szCs w:val="20"/>
                <w:lang w:val="cs-CZ"/>
              </w:rPr>
              <w:t>Velkoobchod/centrální nákup/trh</w:t>
            </w:r>
          </w:p>
        </w:tc>
        <w:tc>
          <w:tcPr>
            <w:tcW w:w="425" w:type="pct"/>
            <w:tcBorders>
              <w:top w:val="single" w:sz="4" w:space="0" w:color="auto"/>
              <w:left w:val="nil"/>
              <w:bottom w:val="single" w:sz="4" w:space="0" w:color="auto"/>
              <w:right w:val="single" w:sz="4" w:space="0" w:color="auto"/>
            </w:tcBorders>
            <w:shd w:val="clear" w:color="auto" w:fill="auto"/>
            <w:noWrap/>
            <w:vAlign w:val="bottom"/>
            <w:hideMark/>
          </w:tcPr>
          <w:p w14:paraId="69CA5456"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40,0</w:t>
            </w:r>
          </w:p>
        </w:tc>
        <w:tc>
          <w:tcPr>
            <w:tcW w:w="425" w:type="pct"/>
            <w:tcBorders>
              <w:top w:val="single" w:sz="4" w:space="0" w:color="auto"/>
              <w:left w:val="nil"/>
              <w:bottom w:val="single" w:sz="4" w:space="0" w:color="auto"/>
              <w:right w:val="single" w:sz="4" w:space="0" w:color="auto"/>
            </w:tcBorders>
            <w:shd w:val="clear" w:color="auto" w:fill="auto"/>
            <w:noWrap/>
            <w:vAlign w:val="bottom"/>
            <w:hideMark/>
          </w:tcPr>
          <w:p w14:paraId="121259F6"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44,0</w:t>
            </w:r>
          </w:p>
        </w:tc>
        <w:tc>
          <w:tcPr>
            <w:tcW w:w="106" w:type="pct"/>
            <w:tcBorders>
              <w:top w:val="single" w:sz="4" w:space="0" w:color="auto"/>
              <w:left w:val="nil"/>
              <w:bottom w:val="single" w:sz="4" w:space="0" w:color="auto"/>
              <w:right w:val="nil"/>
            </w:tcBorders>
          </w:tcPr>
          <w:p w14:paraId="6511E95D" w14:textId="77777777" w:rsidR="00AA3A5F" w:rsidRPr="007D69D6" w:rsidRDefault="00AA3A5F" w:rsidP="007A68D5">
            <w:pPr>
              <w:jc w:val="center"/>
              <w:rPr>
                <w:rFonts w:cs="Times New Roman"/>
                <w:sz w:val="20"/>
                <w:szCs w:val="20"/>
                <w:lang w:val="cs-CZ"/>
              </w:rPr>
            </w:pPr>
          </w:p>
        </w:tc>
        <w:tc>
          <w:tcPr>
            <w:tcW w:w="324" w:type="pct"/>
            <w:tcBorders>
              <w:top w:val="single" w:sz="4" w:space="0" w:color="auto"/>
              <w:left w:val="nil"/>
              <w:bottom w:val="single" w:sz="4" w:space="0" w:color="auto"/>
              <w:right w:val="single" w:sz="4" w:space="0" w:color="auto"/>
            </w:tcBorders>
            <w:shd w:val="clear" w:color="auto" w:fill="auto"/>
            <w:noWrap/>
            <w:vAlign w:val="bottom"/>
            <w:hideMark/>
          </w:tcPr>
          <w:p w14:paraId="7B327B0F"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44,4</w:t>
            </w:r>
          </w:p>
        </w:tc>
        <w:tc>
          <w:tcPr>
            <w:tcW w:w="439" w:type="pct"/>
            <w:tcBorders>
              <w:top w:val="single" w:sz="4" w:space="0" w:color="auto"/>
              <w:left w:val="nil"/>
              <w:bottom w:val="single" w:sz="4" w:space="0" w:color="auto"/>
              <w:right w:val="single" w:sz="4" w:space="0" w:color="auto"/>
            </w:tcBorders>
            <w:shd w:val="clear" w:color="auto" w:fill="auto"/>
            <w:noWrap/>
            <w:vAlign w:val="bottom"/>
            <w:hideMark/>
          </w:tcPr>
          <w:p w14:paraId="5AA7EC54"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43,9</w:t>
            </w:r>
          </w:p>
        </w:tc>
        <w:tc>
          <w:tcPr>
            <w:tcW w:w="514" w:type="pct"/>
            <w:tcBorders>
              <w:top w:val="single" w:sz="4" w:space="0" w:color="auto"/>
              <w:left w:val="nil"/>
              <w:bottom w:val="single" w:sz="4" w:space="0" w:color="auto"/>
              <w:right w:val="single" w:sz="4" w:space="0" w:color="auto"/>
            </w:tcBorders>
            <w:shd w:val="clear" w:color="auto" w:fill="auto"/>
            <w:noWrap/>
            <w:vAlign w:val="bottom"/>
            <w:hideMark/>
          </w:tcPr>
          <w:p w14:paraId="77223259"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48,1</w:t>
            </w:r>
          </w:p>
        </w:tc>
        <w:tc>
          <w:tcPr>
            <w:tcW w:w="424" w:type="pct"/>
            <w:tcBorders>
              <w:top w:val="single" w:sz="4" w:space="0" w:color="auto"/>
              <w:left w:val="nil"/>
              <w:bottom w:val="single" w:sz="4" w:space="0" w:color="auto"/>
              <w:right w:val="single" w:sz="12" w:space="0" w:color="auto"/>
            </w:tcBorders>
            <w:shd w:val="clear" w:color="auto" w:fill="auto"/>
            <w:noWrap/>
            <w:vAlign w:val="bottom"/>
            <w:hideMark/>
          </w:tcPr>
          <w:p w14:paraId="75F26662"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40,6</w:t>
            </w:r>
          </w:p>
        </w:tc>
      </w:tr>
      <w:tr w:rsidR="00AA3A5F" w:rsidRPr="007D69D6" w14:paraId="55DE6373" w14:textId="77777777" w:rsidTr="007A68D5">
        <w:trPr>
          <w:trHeight w:val="315"/>
        </w:trPr>
        <w:tc>
          <w:tcPr>
            <w:tcW w:w="2343" w:type="pct"/>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375F016A" w14:textId="77777777" w:rsidR="00AA3A5F" w:rsidRPr="007D69D6" w:rsidRDefault="00AA3A5F" w:rsidP="007A68D5">
            <w:pPr>
              <w:jc w:val="left"/>
              <w:rPr>
                <w:rFonts w:cs="Times New Roman"/>
                <w:b/>
                <w:bCs/>
                <w:sz w:val="20"/>
                <w:szCs w:val="20"/>
                <w:lang w:val="cs-CZ"/>
              </w:rPr>
            </w:pPr>
            <w:r w:rsidRPr="007D69D6">
              <w:rPr>
                <w:rFonts w:cs="Times New Roman"/>
                <w:b/>
                <w:bCs/>
                <w:sz w:val="20"/>
                <w:szCs w:val="20"/>
                <w:lang w:val="cs-CZ"/>
              </w:rPr>
              <w:t>Ostatní</w:t>
            </w:r>
          </w:p>
        </w:tc>
        <w:tc>
          <w:tcPr>
            <w:tcW w:w="425" w:type="pct"/>
            <w:tcBorders>
              <w:top w:val="single" w:sz="4" w:space="0" w:color="auto"/>
              <w:left w:val="nil"/>
              <w:bottom w:val="single" w:sz="12" w:space="0" w:color="auto"/>
              <w:right w:val="single" w:sz="4" w:space="0" w:color="auto"/>
            </w:tcBorders>
            <w:shd w:val="clear" w:color="auto" w:fill="auto"/>
            <w:noWrap/>
            <w:vAlign w:val="bottom"/>
            <w:hideMark/>
          </w:tcPr>
          <w:p w14:paraId="52C6233D"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6,0</w:t>
            </w:r>
          </w:p>
        </w:tc>
        <w:tc>
          <w:tcPr>
            <w:tcW w:w="425" w:type="pct"/>
            <w:tcBorders>
              <w:top w:val="single" w:sz="4" w:space="0" w:color="auto"/>
              <w:left w:val="nil"/>
              <w:bottom w:val="single" w:sz="12" w:space="0" w:color="auto"/>
              <w:right w:val="single" w:sz="4" w:space="0" w:color="auto"/>
            </w:tcBorders>
            <w:shd w:val="clear" w:color="auto" w:fill="auto"/>
            <w:noWrap/>
            <w:vAlign w:val="bottom"/>
            <w:hideMark/>
          </w:tcPr>
          <w:p w14:paraId="1642ABF0"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2,0</w:t>
            </w:r>
          </w:p>
        </w:tc>
        <w:tc>
          <w:tcPr>
            <w:tcW w:w="106" w:type="pct"/>
            <w:tcBorders>
              <w:top w:val="single" w:sz="4" w:space="0" w:color="auto"/>
              <w:left w:val="nil"/>
              <w:bottom w:val="single" w:sz="12" w:space="0" w:color="auto"/>
              <w:right w:val="nil"/>
            </w:tcBorders>
          </w:tcPr>
          <w:p w14:paraId="16CAC253" w14:textId="77777777" w:rsidR="00AA3A5F" w:rsidRPr="007D69D6" w:rsidRDefault="00AA3A5F" w:rsidP="007A68D5">
            <w:pPr>
              <w:jc w:val="center"/>
              <w:rPr>
                <w:rFonts w:cs="Times New Roman"/>
                <w:sz w:val="20"/>
                <w:szCs w:val="20"/>
                <w:lang w:val="cs-CZ"/>
              </w:rPr>
            </w:pPr>
          </w:p>
        </w:tc>
        <w:tc>
          <w:tcPr>
            <w:tcW w:w="324" w:type="pct"/>
            <w:tcBorders>
              <w:top w:val="single" w:sz="4" w:space="0" w:color="auto"/>
              <w:left w:val="nil"/>
              <w:bottom w:val="single" w:sz="12" w:space="0" w:color="auto"/>
              <w:right w:val="single" w:sz="4" w:space="0" w:color="auto"/>
            </w:tcBorders>
            <w:shd w:val="clear" w:color="auto" w:fill="auto"/>
            <w:noWrap/>
            <w:vAlign w:val="bottom"/>
            <w:hideMark/>
          </w:tcPr>
          <w:p w14:paraId="7B8D9D1A"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2,8</w:t>
            </w:r>
          </w:p>
        </w:tc>
        <w:tc>
          <w:tcPr>
            <w:tcW w:w="439" w:type="pct"/>
            <w:tcBorders>
              <w:top w:val="single" w:sz="4" w:space="0" w:color="auto"/>
              <w:left w:val="nil"/>
              <w:bottom w:val="single" w:sz="12" w:space="0" w:color="auto"/>
              <w:right w:val="single" w:sz="4" w:space="0" w:color="auto"/>
            </w:tcBorders>
            <w:shd w:val="clear" w:color="auto" w:fill="auto"/>
            <w:noWrap/>
            <w:vAlign w:val="bottom"/>
            <w:hideMark/>
          </w:tcPr>
          <w:p w14:paraId="02D0DC12"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1,3</w:t>
            </w:r>
          </w:p>
        </w:tc>
        <w:tc>
          <w:tcPr>
            <w:tcW w:w="514" w:type="pct"/>
            <w:tcBorders>
              <w:top w:val="single" w:sz="4" w:space="0" w:color="auto"/>
              <w:left w:val="nil"/>
              <w:bottom w:val="single" w:sz="12" w:space="0" w:color="auto"/>
              <w:right w:val="single" w:sz="4" w:space="0" w:color="auto"/>
            </w:tcBorders>
            <w:shd w:val="clear" w:color="auto" w:fill="auto"/>
            <w:noWrap/>
            <w:vAlign w:val="bottom"/>
            <w:hideMark/>
          </w:tcPr>
          <w:p w14:paraId="21974820"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1,7</w:t>
            </w:r>
          </w:p>
        </w:tc>
        <w:tc>
          <w:tcPr>
            <w:tcW w:w="424" w:type="pct"/>
            <w:tcBorders>
              <w:top w:val="single" w:sz="4" w:space="0" w:color="auto"/>
              <w:left w:val="nil"/>
              <w:bottom w:val="single" w:sz="12" w:space="0" w:color="auto"/>
              <w:right w:val="single" w:sz="12" w:space="0" w:color="auto"/>
            </w:tcBorders>
            <w:shd w:val="clear" w:color="auto" w:fill="auto"/>
            <w:noWrap/>
            <w:vAlign w:val="bottom"/>
            <w:hideMark/>
          </w:tcPr>
          <w:p w14:paraId="43B6C633" w14:textId="77777777" w:rsidR="00AA3A5F" w:rsidRPr="007D69D6" w:rsidRDefault="00AA3A5F" w:rsidP="007A68D5">
            <w:pPr>
              <w:jc w:val="center"/>
              <w:rPr>
                <w:rFonts w:cs="Times New Roman"/>
                <w:sz w:val="20"/>
                <w:szCs w:val="20"/>
                <w:lang w:val="cs-CZ"/>
              </w:rPr>
            </w:pPr>
            <w:r w:rsidRPr="007D69D6">
              <w:rPr>
                <w:rFonts w:cs="Times New Roman"/>
                <w:sz w:val="20"/>
                <w:szCs w:val="20"/>
                <w:lang w:val="cs-CZ"/>
              </w:rPr>
              <w:t>1,9</w:t>
            </w:r>
          </w:p>
        </w:tc>
      </w:tr>
    </w:tbl>
    <w:p w14:paraId="4F9A1336" w14:textId="77777777" w:rsidR="00AA3A5F" w:rsidRPr="00B25A22" w:rsidRDefault="00AA3A5F" w:rsidP="007D69D6">
      <w:pPr>
        <w:pStyle w:val="UZEIZdroj"/>
      </w:pPr>
      <w:r w:rsidRPr="00B25A22">
        <w:t>Pramen: ÚZEI dle SZIF</w:t>
      </w:r>
    </w:p>
    <w:p w14:paraId="64DFCFB0" w14:textId="77777777" w:rsidR="00AA3A5F" w:rsidRPr="00B25A22" w:rsidRDefault="00AA3A5F" w:rsidP="007D69D6">
      <w:pPr>
        <w:pStyle w:val="UZEIZdroj"/>
      </w:pPr>
      <w:r w:rsidRPr="00B25A22">
        <w:t>Poznámka: V roce 2018 došlo ke změně struktury formuláře Výroční zprávy, již nelze rozdělit.</w:t>
      </w:r>
    </w:p>
    <w:p w14:paraId="792F814E" w14:textId="77777777" w:rsidR="00AA3A5F" w:rsidRPr="00B25A22" w:rsidRDefault="00AA3A5F" w:rsidP="00AA3A5F">
      <w:pPr>
        <w:spacing w:line="240" w:lineRule="atLeast"/>
        <w:rPr>
          <w:rFonts w:cs="Times New Roman"/>
          <w:sz w:val="18"/>
          <w:szCs w:val="18"/>
          <w:lang w:val="cs-CZ"/>
        </w:rPr>
      </w:pPr>
    </w:p>
    <w:p w14:paraId="2E807C88" w14:textId="77777777" w:rsidR="00AA3A5F" w:rsidRPr="00B25A22" w:rsidRDefault="00AA3A5F" w:rsidP="007D69D6">
      <w:pPr>
        <w:pStyle w:val="UZEINormaln"/>
      </w:pPr>
      <w:r w:rsidRPr="00B25A22">
        <w:rPr>
          <w:rFonts w:eastAsia="Calibri"/>
        </w:rPr>
        <w:t>Dotazníkovým šetřením ÚZEI</w:t>
      </w:r>
      <w:r w:rsidRPr="00B25A22">
        <w:rPr>
          <w:rStyle w:val="Znakapoznpodarou"/>
          <w:rFonts w:eastAsia="Calibri"/>
          <w:b/>
        </w:rPr>
        <w:footnoteReference w:id="22"/>
      </w:r>
      <w:r w:rsidRPr="00B25A22">
        <w:rPr>
          <w:rFonts w:eastAsia="Calibri"/>
        </w:rPr>
        <w:t xml:space="preserve"> mezi pěstiteli, kteří byli zapojeni do operačních programů v letech 2009 až 2011, bylo zjištěno, že i</w:t>
      </w:r>
      <w:r w:rsidRPr="00B25A22">
        <w:t xml:space="preserve">nvestice spojené s pořízením nových pěstebních, sklizňových a posklizňových technologií, s budováním společných skladů umožňující centralizaci nabídky a zlepšení její kvality pomohly jak OP, tak samotným jejím členům ke zlepšení postavení na trhu. Z těchto důvodů lze označit celkové výdaje na daná opatření jako efektivní, což potvrdila i většina respondentů – OP v dotazníkovém šetření, kde 90 % potvrdilo nejvyšší efektivitu a přínosnost u Opatření č. 1, 2 a 3, které příznivě ovlivnilo centralizaci nabídky a pomohlo zlepšit plánování a zvýšit kvalitu nabízené produkce. To se projevilo zlepšením odbytu velkým odběratelům (řetězce a velkoobchod). Ve srovnání s rokem 2008 se v průměru období 2009 - 2011 zvýšil prodej OP těmto odběratelům na 115,6 %. Dalším přínosem bylo zlepšení odbytu zavedením certifikátů kvality a procesu řízení.  Lze konstatovat, že využitím Operačních programů došlo ke zlepšení výkonnosti zemědělských podniků členů OP (měřeno jednotkovou hodnotou realizované produkce), zvýšení intenzity výroby (měřeno objemem produkce připadající na hektar pěstební plochy a objemem produkce připadající na člena). Jednotková hodnota produkce se v průměru období 2009 - 2011 ve srovnání s rokem 2008 zvýšila na 102,9 %, objem produkce z hektaru vzrostl na 102,8 % a objem produkce na aktivního člena dosáhl 105,7 %. Na základě toho lze usuzovat, že výdaje byly vynaloženy efektivně, neboť měly příznivý dopad na produkci členů OP. Vnitrostátní strategie ČR tak přispěla ke stabilizaci příjmů </w:t>
      </w:r>
      <w:proofErr w:type="gramStart"/>
      <w:r w:rsidRPr="00B25A22">
        <w:t>producentů - členů</w:t>
      </w:r>
      <w:proofErr w:type="gramEnd"/>
      <w:r w:rsidRPr="00B25A22">
        <w:t xml:space="preserve"> OP a pomohla udržet jejich konkurenceschopnost. Zároveň došlo ke zvýšení atraktivity členství, neboť se od roku 2008 do roku 2011 průběžně zvyšoval počet aktivních členů OP ze 130 na 150. Organizace producentů jsou schopny poskytovat svým členům služby, které by oni sami nemohli provozovat (např. pořízení systémů certifikace, kontinuálnost a centralizaci nabídky produkce uváděné na trh (především řetězcům a velkoobchodu), ale i poradenské služby, skladovací kapacity aj. </w:t>
      </w:r>
    </w:p>
    <w:p w14:paraId="1236362A" w14:textId="77777777" w:rsidR="00AA3A5F" w:rsidRPr="00B25A22" w:rsidRDefault="00AA3A5F" w:rsidP="007D69D6">
      <w:pPr>
        <w:pStyle w:val="UZEINormaln"/>
      </w:pPr>
      <w:r w:rsidRPr="00B25A22">
        <w:rPr>
          <w:rFonts w:eastAsia="Calibri"/>
        </w:rPr>
        <w:t>Navazujícím dotazníkovým šetřením ÚZEI</w:t>
      </w:r>
      <w:r w:rsidRPr="00B25A22">
        <w:rPr>
          <w:rStyle w:val="Znakapoznpodarou"/>
          <w:rFonts w:eastAsia="Calibri"/>
          <w:b/>
        </w:rPr>
        <w:footnoteReference w:id="23"/>
      </w:r>
      <w:r w:rsidRPr="00B25A22">
        <w:rPr>
          <w:rFonts w:eastAsia="Calibri"/>
        </w:rPr>
        <w:t xml:space="preserve"> mezi pěstiteli, kteří byli zapojeni do operačních programů v letech 2012 až 2013, bylo potvrzeno výše uvedené, tedy že i</w:t>
      </w:r>
      <w:r w:rsidRPr="00B25A22">
        <w:t xml:space="preserve">nvestice spojené s pořízením nových pěstebních, sklizňových a posklizňových technologií, s budováním společných skladů umožňující centralizaci nabídky a zlepšení její kvality pomohly jak OP, tak samotným jejím členům ke zlepšení postavení na trhu. Efektivnost vynaložených finančních prostředků potvrdila i většina respondentů, především u zajištění stávajícího odbytu produkce, možnosti čerpání podpor a zvýšení odbytu produkce. To se projevilo zlepšením odbytu velkým odběratelům (obchodní řetězce a velkoobchod). Ve srovnání s předchozím posuzovaném období mírně narostl odbyt drobným prodejem (ze 7 % na 11 %) a odbyt zpracovatelskému průmyslu (z 12 % na 20 %). Dalším přínosem bylo zlepšení odbytu zavedením certifikátů kvality a procesu řízení, které pozitivně vnímalo 41 % respondentů.  Lze konstatovat, že využitím Operačních programů došlo ke zlepšení výkonnosti zemědělských podniků členů OP (měřeno jednotkovou hodnotou realizované produkce), zvýšení intenzity výroby (měřeno objemem produkce připadající na hektar pěstební plochy a objemem produkce připadající </w:t>
      </w:r>
      <w:r w:rsidRPr="00B25A22">
        <w:lastRenderedPageBreak/>
        <w:t xml:space="preserve">na člena). Na základě toho lze usuzovat, že finanční prostředky byly vynaloženy efektivně, neboť měly příznivý dopad na produkci členů OP. Vnitrostátní strategie ČR tak přispěla ke stabilizaci příjmů </w:t>
      </w:r>
      <w:proofErr w:type="gramStart"/>
      <w:r w:rsidRPr="00B25A22">
        <w:t>producentů - členů</w:t>
      </w:r>
      <w:proofErr w:type="gramEnd"/>
      <w:r w:rsidRPr="00B25A22">
        <w:t xml:space="preserve"> OP a pomohla udržet jejich konkurenceschopnost. Zároveň došlo ke zvýšení atraktivity členství, neboť se od roku 2012 do roku 2013 zvýšil počet aktivních členů OP ze 154 na 165. Organizace producentů jsou schopny poskytovat svým členům služby, které by oni sami nemohli provozovat (např. pořízení systémů certifikace, kontinuálnost a centralizaci nabídky produkce uváděné na trh (především řetězcům a velkoobchodu)), ale i poradenské služby, skladovací kapacity, sklízecí stroje a balící linky, aj. </w:t>
      </w:r>
    </w:p>
    <w:p w14:paraId="6156B144" w14:textId="045EBC8D" w:rsidR="00AA3A5F" w:rsidRPr="001E17E8" w:rsidRDefault="00AA3A5F" w:rsidP="007D69D6">
      <w:pPr>
        <w:pStyle w:val="UZEINormaln"/>
      </w:pPr>
      <w:r w:rsidRPr="00B25A22">
        <w:t>Další detaily hodnocení předchozích operačních programů jsou uvedeny v příloze 1.</w:t>
      </w:r>
    </w:p>
    <w:p w14:paraId="55DB6999" w14:textId="77777777" w:rsidR="00AA3A5F" w:rsidRPr="007D69D6" w:rsidRDefault="00AA3A5F" w:rsidP="007D69D6">
      <w:pPr>
        <w:pStyle w:val="UZEINormaln"/>
        <w:numPr>
          <w:ilvl w:val="0"/>
          <w:numId w:val="39"/>
        </w:numPr>
        <w:rPr>
          <w:b/>
          <w:bCs/>
        </w:rPr>
      </w:pPr>
      <w:r w:rsidRPr="007D69D6">
        <w:rPr>
          <w:b/>
          <w:bCs/>
        </w:rPr>
        <w:t xml:space="preserve">Absence diferenciace produktů prostřednictvím vertikálních režimů kvality zapojujících prvovýrobce k prosazení výrobků ve spotřebitelských preferencích. </w:t>
      </w:r>
    </w:p>
    <w:p w14:paraId="5D6F0200" w14:textId="77777777" w:rsidR="00AA3A5F" w:rsidRPr="00B25A22" w:rsidRDefault="00AA3A5F" w:rsidP="00912592">
      <w:pPr>
        <w:pStyle w:val="UZEINormaln"/>
      </w:pPr>
      <w:r w:rsidRPr="00B25A22">
        <w:t xml:space="preserve">Zavedení vertikálních režimů kvality, které by propojily zemědělské producenty a zpracovatele, předpokládá sdílení nákladů na jejich zavedení a provoz. V takovém případě je žádoucí určitá stálost vertikálních vztahů. V odvětví, kde zemědělský výrobce snadno mění odběratele (zpracovatele), se tedy snadno mění portfolio skupiny zemědělců s vazbou na určitého zpracovatele.  Budování vertikální značky je pak s ohledem na tento faktor obtížné. </w:t>
      </w:r>
    </w:p>
    <w:p w14:paraId="06AC97AA" w14:textId="77777777" w:rsidR="00AA3A5F" w:rsidRPr="00B25A22" w:rsidRDefault="00AA3A5F" w:rsidP="00912592">
      <w:pPr>
        <w:pStyle w:val="UZEINormaln"/>
      </w:pPr>
      <w:r w:rsidRPr="00B25A22">
        <w:t>V ČR se podařilo dostat do povědomí spotřebitelů několik málo značek kvality (</w:t>
      </w:r>
      <w:r w:rsidRPr="00B25A22">
        <w:rPr>
          <w:b/>
        </w:rPr>
        <w:t>Klasa</w:t>
      </w:r>
      <w:r w:rsidRPr="00B25A22">
        <w:rPr>
          <w:rStyle w:val="Znakapoznpodarou"/>
          <w:b/>
        </w:rPr>
        <w:footnoteReference w:id="24"/>
      </w:r>
      <w:r w:rsidRPr="00B25A22">
        <w:rPr>
          <w:b/>
        </w:rPr>
        <w:t>, Regionální potravina (RP)</w:t>
      </w:r>
      <w:r w:rsidRPr="00B25A22">
        <w:rPr>
          <w:rStyle w:val="Znakapoznpodarou"/>
          <w:b/>
        </w:rPr>
        <w:footnoteReference w:id="25"/>
      </w:r>
      <w:r w:rsidRPr="00B25A22">
        <w:rPr>
          <w:b/>
        </w:rPr>
        <w:t>, Bio potravina</w:t>
      </w:r>
      <w:r w:rsidRPr="00B25A22">
        <w:t>). Klasa ani Regionální potravina však nejsou plnohodnotným řešením. Ani jedna z těchto značek kvality není vertikální ve smyslu vazby na konkrétní skupinu zemědělských výrobců.</w:t>
      </w:r>
    </w:p>
    <w:p w14:paraId="26430A2F" w14:textId="77777777" w:rsidR="00AA3A5F" w:rsidRPr="00B25A22" w:rsidRDefault="00AA3A5F" w:rsidP="00912592">
      <w:pPr>
        <w:pStyle w:val="UZEIOdrky"/>
      </w:pPr>
      <w:r w:rsidRPr="00B25A22">
        <w:t>Nejde o vertikální režimy, tedy nestimulují kvalitu již od prvovýrobce,</w:t>
      </w:r>
    </w:p>
    <w:p w14:paraId="74EA741A" w14:textId="77777777" w:rsidR="00AA3A5F" w:rsidRPr="00B25A22" w:rsidRDefault="00AA3A5F" w:rsidP="00912592">
      <w:pPr>
        <w:pStyle w:val="UZEIOdrky"/>
      </w:pPr>
      <w:r w:rsidRPr="00B25A22">
        <w:t xml:space="preserve">jsou založeny na principu soutěží, </w:t>
      </w:r>
    </w:p>
    <w:p w14:paraId="61751124" w14:textId="77777777" w:rsidR="00AA3A5F" w:rsidRPr="00B25A22" w:rsidRDefault="00AA3A5F" w:rsidP="00912592">
      <w:pPr>
        <w:pStyle w:val="UZEIOdrky"/>
      </w:pPr>
      <w:r w:rsidRPr="00B25A22">
        <w:t xml:space="preserve">významné kritérium k získání ocenění (kritérium kvality) je poměrně neurčitě definováno, </w:t>
      </w:r>
    </w:p>
    <w:p w14:paraId="631F6A1E" w14:textId="77777777" w:rsidR="00AA3A5F" w:rsidRPr="00B25A22" w:rsidRDefault="00AA3A5F" w:rsidP="00912592">
      <w:pPr>
        <w:pStyle w:val="UZEIOdrky"/>
      </w:pPr>
      <w:r w:rsidRPr="00B25A22">
        <w:t xml:space="preserve">regionální potravina je určena jen malým a středním podnikům a zasahuje malý segment výroby. </w:t>
      </w:r>
    </w:p>
    <w:p w14:paraId="4736EB26" w14:textId="77777777" w:rsidR="00AA3A5F" w:rsidRPr="00B25A22" w:rsidRDefault="00AA3A5F" w:rsidP="00912592">
      <w:pPr>
        <w:pStyle w:val="UZEINormaln"/>
        <w:rPr>
          <w:rFonts w:eastAsia="Calibri"/>
        </w:rPr>
      </w:pPr>
      <w:r w:rsidRPr="00B25A22">
        <w:t xml:space="preserve">Výzkum SZIF (2018, a) mezi </w:t>
      </w:r>
      <w:r w:rsidRPr="00B25A22">
        <w:rPr>
          <w:caps/>
        </w:rPr>
        <w:t>držiteli značky Klasa</w:t>
      </w:r>
      <w:r w:rsidRPr="00B25A22">
        <w:t xml:space="preserve"> v roce 2018 ukázal, že </w:t>
      </w:r>
      <w:r w:rsidRPr="00B25A22">
        <w:rPr>
          <w:i/>
        </w:rPr>
        <w:t>ocenění výrobci se domnívají</w:t>
      </w:r>
      <w:r w:rsidRPr="00B25A22">
        <w:t>, že značka má kladný efekt na vyšší zájem o zalistování výrobků, 40 % výrobců uvádí, že díky značce KLASA došlo ke zvýšení prodeje o 1-5 %. Z pohledu výrobců značka KLASA přináší oceněným hlavně zvýšení prestiže a vyšší marketingový potenciál. Přes 75 % výrobců považuje oceněné výrobky za nejdůležitější v portfoliu a mají zájem usilovat o ocenění KLASA i pro další výrobky v portfoliu. V případě končícího certifikátu pouze 5% výrobců nemá v plánu usilovat o opakované získání certifikátu, naopak takřka 95 % výrobců si ocenění váží natolik, že v případě končícího certifikátu budou o značku KLASA usilovat znovu.</w:t>
      </w:r>
      <w:r w:rsidRPr="00B25A22">
        <w:rPr>
          <w:rFonts w:eastAsia="Calibri"/>
        </w:rPr>
        <w:t xml:space="preserve"> </w:t>
      </w:r>
      <w:r w:rsidRPr="00B25A22">
        <w:rPr>
          <w:b/>
        </w:rPr>
        <w:t>Ve výzkumu nejsou zohledněny názory výrobců, kteří o značku nežádali nebo značku nezískali.</w:t>
      </w:r>
    </w:p>
    <w:p w14:paraId="20E7DA03" w14:textId="77777777" w:rsidR="00AA3A5F" w:rsidRPr="00B25A22" w:rsidRDefault="00AA3A5F" w:rsidP="00912592">
      <w:pPr>
        <w:pStyle w:val="UZEINormaln"/>
      </w:pPr>
      <w:r w:rsidRPr="00B25A22">
        <w:lastRenderedPageBreak/>
        <w:t xml:space="preserve">Výzkum SZIF (2018, b) </w:t>
      </w:r>
      <w:r w:rsidRPr="00B25A22">
        <w:rPr>
          <w:caps/>
        </w:rPr>
        <w:t>mezi držiteli značky Regionální potravina</w:t>
      </w:r>
      <w:r w:rsidRPr="00B25A22">
        <w:t xml:space="preserve"> v roce 2018 ukázal, že přes 95 % výrobců se domnívá, že značka RP má pozitivní vliv na podporu spotřeby regionálních potravin a zároveň 75% výrobců uvádí, že značka RP má pozitivní vliv na zvýšení poptávky a prodeje oceněných výrobků. Soutěž je podle výzkumu SZIF mezi výrobci úspěšná a oblíbená, 85% výrobců má v plánu o značku RP usilovat i v dalších ročnících. Výrobci dodávají své výrobky na trh zejména prostřednictvím maloobchodních řetězců, farmářských trhů a podnikových prodejen. Pouze zhruba jedna pětina výrobců využívá pro prodej výrobků e-shopy. Mezi nejoblíbenější aktivity na podporu prodeje patří prezentace a ochutnávky na farmářských trzích a také prezentace na výstavách a veletrzích. </w:t>
      </w:r>
      <w:r w:rsidRPr="00B25A22">
        <w:rPr>
          <w:b/>
        </w:rPr>
        <w:t>Ve výzkumu nejsou zohledněny názory výrobců, kteří o značku nežádali nebo značku nezískali</w:t>
      </w:r>
      <w:r w:rsidRPr="00B25A22">
        <w:t>. Z konzultací ÚZEI s vybranými držiteli značky RP vyplynuly spíše rozporuplné reakce na značku, námitky se týkaly nevyhovujících kritérií (možnost přihlásit jen jedné varianty téměř totožného produktu -  příchuť jogurtu z celé škály příchutí na stejné bázi výrobku), omezeného počtu oceněných výrobků nebo pochyb o vlivu značky na spotřebitelskou poptávku.</w:t>
      </w:r>
    </w:p>
    <w:p w14:paraId="79A36A52" w14:textId="41740FEA" w:rsidR="00AA3A5F" w:rsidRPr="00B25A22" w:rsidRDefault="00AA3A5F" w:rsidP="00912592">
      <w:pPr>
        <w:pStyle w:val="UZEINormaln"/>
      </w:pPr>
      <w:r w:rsidRPr="00B25A22">
        <w:t>Ačkoliv ocenění výrobci přiznávají kladný vliv Klasy a RP na mírné zvýšení prodeje a prestiž výrobce (SZIF,</w:t>
      </w:r>
      <w:r w:rsidR="001E17E8">
        <w:t xml:space="preserve"> </w:t>
      </w:r>
      <w:r w:rsidRPr="00B25A22">
        <w:t xml:space="preserve">2018a; 2018b), odezva u spotřebitelů je nižší než u výrobců. </w:t>
      </w:r>
    </w:p>
    <w:p w14:paraId="0D32C5B3" w14:textId="77777777" w:rsidR="00AA3A5F" w:rsidRPr="00B25A22" w:rsidRDefault="00AA3A5F" w:rsidP="00912592">
      <w:pPr>
        <w:pStyle w:val="UZEINormaln"/>
      </w:pPr>
      <w:r w:rsidRPr="00B25A22">
        <w:t>Dalšími značkami, které se odkazují na regionální původ, jsou „Regionální značky“. Koordinaci schématu zajišťuje Asociace regionálních značek (ARZ). V roce 2018 se do schématu ARZ zapojilo 27 členských regionů s 540 certifikovanými potravinami a zemědělskými výrobky</w:t>
      </w:r>
      <w:r w:rsidRPr="00B25A22">
        <w:rPr>
          <w:rStyle w:val="Znakapoznpodarou"/>
        </w:rPr>
        <w:footnoteReference w:id="26"/>
      </w:r>
      <w:r w:rsidRPr="00B25A22">
        <w:t>. Dle výzkumu ÚZEI</w:t>
      </w:r>
      <w:r w:rsidRPr="00B25A22">
        <w:rPr>
          <w:rStyle w:val="Znakapoznpodarou"/>
        </w:rPr>
        <w:footnoteReference w:id="27"/>
      </w:r>
      <w:r w:rsidRPr="00B25A22">
        <w:t xml:space="preserve"> vyrábí výrobky s Regionální značkou zhruba dvě třetiny výrobců</w:t>
      </w:r>
      <w:r w:rsidRPr="00B25A22">
        <w:rPr>
          <w:rStyle w:val="Znakapoznpodarou"/>
        </w:rPr>
        <w:footnoteReference w:id="28"/>
      </w:r>
      <w:r w:rsidRPr="00B25A22">
        <w:t xml:space="preserve"> ve venkovských oblastech (v lokalitách do 2 000 obyvatel) a pouze 14% ve městech s více než 10 000 obyvateli. Zhruba 40 % producentů vyrábí a distribuuje své zboží s méně než 2 osobami a téměř 80 % respondentů jsou podniky s méně než 9 osobami. Nicméně snaha o zavedení a rozšíření značek se promítla do různorodých a poměrně slabých certifikačních kritérií a spotřebitel nedostává jasnou informaci jakou hodnotu certifikace, </w:t>
      </w:r>
    </w:p>
    <w:p w14:paraId="6FD72BE2" w14:textId="77777777" w:rsidR="00AA3A5F" w:rsidRPr="00B25A22" w:rsidRDefault="00AA3A5F" w:rsidP="00912592">
      <w:pPr>
        <w:pStyle w:val="UZEINormaln"/>
        <w:rPr>
          <w:szCs w:val="22"/>
        </w:rPr>
      </w:pPr>
      <w:r w:rsidRPr="00B25A22">
        <w:rPr>
          <w:szCs w:val="22"/>
        </w:rPr>
        <w:t xml:space="preserve">Výzkum SZIF (2017) zaměřený na </w:t>
      </w:r>
      <w:r w:rsidRPr="00B25A22">
        <w:rPr>
          <w:caps/>
          <w:szCs w:val="22"/>
        </w:rPr>
        <w:t>názory spotřebitelů v ČR na obecnou znalost značek kvality</w:t>
      </w:r>
      <w:r w:rsidRPr="00B25A22">
        <w:rPr>
          <w:szCs w:val="22"/>
        </w:rPr>
        <w:t xml:space="preserve"> (vzorek 573 spotřebitelů obecné populace 15 – 55 let) prokázal, že:</w:t>
      </w:r>
    </w:p>
    <w:p w14:paraId="2CBB5E5C" w14:textId="77777777" w:rsidR="00AA3A5F" w:rsidRPr="00B25A22" w:rsidRDefault="00AA3A5F" w:rsidP="00912592">
      <w:pPr>
        <w:pStyle w:val="UZEIOdrky"/>
      </w:pPr>
      <w:r w:rsidRPr="00B25A22">
        <w:t xml:space="preserve">Jen 60 % respondentů uvedlo znalost nějaké značky kvality potravin, obecné povědomí „z doslechu“ konstatovalo 30 % spotřebitelů. </w:t>
      </w:r>
    </w:p>
    <w:p w14:paraId="2B1FC092" w14:textId="77777777" w:rsidR="00AA3A5F" w:rsidRPr="00B25A22" w:rsidRDefault="00AA3A5F" w:rsidP="00912592">
      <w:pPr>
        <w:pStyle w:val="UZEIOdrky"/>
      </w:pPr>
      <w:r w:rsidRPr="00B25A22">
        <w:t xml:space="preserve">Spontánní znalost značek kvality: Z hlediska konkrétní znalosti označení kvality potravin byla jednoznačně nejznámější značkou Klasa, jejíž znalost prokázalo ovšem jen 60 % spotřebitelů. Dalšími uváděnými označeními byly Bio (23 %) a Český výrobek (20,8 %). Znalost značky Regionální potravina uvedlo 15 % z celkového počtu respondentů. </w:t>
      </w:r>
    </w:p>
    <w:p w14:paraId="7C2B7003" w14:textId="1C9361AC" w:rsidR="00AA3A5F" w:rsidRPr="00B25A22" w:rsidRDefault="00AA3A5F" w:rsidP="00912592">
      <w:pPr>
        <w:pStyle w:val="UZEIOdrky"/>
      </w:pPr>
      <w:r w:rsidRPr="00B25A22">
        <w:rPr>
          <w:bCs/>
        </w:rPr>
        <w:t xml:space="preserve">Podpořená znalost značek kvality: </w:t>
      </w:r>
      <w:r w:rsidRPr="00B25A22">
        <w:t xml:space="preserve">84,3 % deklarovalo znalost značky Klasa, následovně pak značky Český výrobek 57,1 % a národní označení biopotravin 47,1 %. Znalost značky Regionální potravina projevilo 36,5 % spotřebitelů. </w:t>
      </w:r>
    </w:p>
    <w:p w14:paraId="29750E2A" w14:textId="77777777" w:rsidR="00AA3A5F" w:rsidRPr="00B25A22" w:rsidRDefault="00AA3A5F" w:rsidP="00912592">
      <w:pPr>
        <w:pStyle w:val="UZEINormaln"/>
        <w:rPr>
          <w:rFonts w:eastAsia="Calibri"/>
        </w:rPr>
      </w:pPr>
      <w:r w:rsidRPr="00B25A22">
        <w:rPr>
          <w:rFonts w:eastAsia="Calibri"/>
          <w:b/>
          <w:caps/>
        </w:rPr>
        <w:t>Podpora</w:t>
      </w:r>
      <w:r w:rsidRPr="00B25A22">
        <w:rPr>
          <w:rFonts w:eastAsia="Calibri"/>
          <w:b/>
        </w:rPr>
        <w:t xml:space="preserve"> propagace značek probíhá formou státní podpory</w:t>
      </w:r>
      <w:r w:rsidRPr="00B25A22">
        <w:rPr>
          <w:rFonts w:eastAsia="Calibri"/>
        </w:rPr>
        <w:t xml:space="preserve"> a cena za takto podporovaný marketing značky kvality není přímo promítnuta do výrobku. S výjimkou formálních </w:t>
      </w:r>
      <w:r w:rsidRPr="00B25A22">
        <w:rPr>
          <w:rFonts w:eastAsia="Calibri"/>
        </w:rPr>
        <w:lastRenderedPageBreak/>
        <w:t xml:space="preserve">administrativních poplatků výrobci do značky neinvestují. Není zřejmé, zda by byli ochotni investovat, neboť </w:t>
      </w:r>
      <w:r w:rsidRPr="00B25A22">
        <w:rPr>
          <w:rFonts w:eastAsia="Calibri"/>
          <w:b/>
        </w:rPr>
        <w:t>není zřejmé, zda by spotřebitel byl ochoten zaplatit za garanci nadstandardní kvality vyšší cenu výrobku</w:t>
      </w:r>
      <w:r w:rsidRPr="00B25A22">
        <w:rPr>
          <w:rFonts w:eastAsia="Calibri"/>
        </w:rPr>
        <w:t>.</w:t>
      </w:r>
    </w:p>
    <w:p w14:paraId="0AAD2A77" w14:textId="50E88DC4" w:rsidR="00AA3A5F" w:rsidRPr="00B25A22" w:rsidRDefault="00912592" w:rsidP="00912592">
      <w:pPr>
        <w:pStyle w:val="UZEITaB"/>
        <w:rPr>
          <w:rFonts w:eastAsia="Calibri"/>
        </w:rPr>
      </w:pPr>
      <w:r>
        <w:rPr>
          <w:rFonts w:eastAsia="Calibri"/>
        </w:rPr>
        <w:t xml:space="preserve"> </w:t>
      </w:r>
      <w:bookmarkStart w:id="70" w:name="_Toc81743456"/>
      <w:r w:rsidR="00AA3A5F" w:rsidRPr="00B25A22">
        <w:rPr>
          <w:rFonts w:eastAsia="Calibri"/>
        </w:rPr>
        <w:t>Čerpání zdrojů na marketing (v tis. Kč)</w:t>
      </w:r>
      <w:bookmarkEnd w:id="70"/>
    </w:p>
    <w:tbl>
      <w:tblPr>
        <w:tblW w:w="8900" w:type="dxa"/>
        <w:tblInd w:w="-5" w:type="dxa"/>
        <w:tblCellMar>
          <w:left w:w="70" w:type="dxa"/>
          <w:right w:w="70" w:type="dxa"/>
        </w:tblCellMar>
        <w:tblLook w:val="04A0" w:firstRow="1" w:lastRow="0" w:firstColumn="1" w:lastColumn="0" w:noHBand="0" w:noVBand="1"/>
      </w:tblPr>
      <w:tblGrid>
        <w:gridCol w:w="4100"/>
        <w:gridCol w:w="960"/>
        <w:gridCol w:w="960"/>
        <w:gridCol w:w="960"/>
        <w:gridCol w:w="960"/>
        <w:gridCol w:w="960"/>
      </w:tblGrid>
      <w:tr w:rsidR="00AA3A5F" w:rsidRPr="00912592" w14:paraId="254AC888" w14:textId="77777777" w:rsidTr="007A68D5">
        <w:trPr>
          <w:trHeight w:val="900"/>
        </w:trPr>
        <w:tc>
          <w:tcPr>
            <w:tcW w:w="4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2DC77" w14:textId="77777777" w:rsidR="00AA3A5F" w:rsidRPr="00912592" w:rsidRDefault="00AA3A5F" w:rsidP="007A68D5">
            <w:pPr>
              <w:jc w:val="left"/>
              <w:rPr>
                <w:rFonts w:cs="Times New Roman"/>
                <w:b/>
                <w:bCs/>
                <w:color w:val="000000"/>
                <w:sz w:val="20"/>
                <w:szCs w:val="20"/>
                <w:lang w:val="cs-CZ"/>
              </w:rPr>
            </w:pPr>
            <w:r w:rsidRPr="00912592">
              <w:rPr>
                <w:rFonts w:cs="Times New Roman"/>
                <w:b/>
                <w:bCs/>
                <w:color w:val="000000"/>
                <w:sz w:val="20"/>
                <w:szCs w:val="20"/>
                <w:lang w:val="cs-CZ"/>
              </w:rPr>
              <w:t>UŽITÍ ZDROJŮ</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101094C7" w14:textId="77777777" w:rsidR="00AA3A5F" w:rsidRPr="00912592" w:rsidRDefault="00AA3A5F" w:rsidP="007A68D5">
            <w:pPr>
              <w:jc w:val="center"/>
              <w:rPr>
                <w:rFonts w:cs="Times New Roman"/>
                <w:b/>
                <w:bCs/>
                <w:color w:val="000000"/>
                <w:sz w:val="20"/>
                <w:szCs w:val="20"/>
                <w:lang w:val="cs-CZ"/>
              </w:rPr>
            </w:pPr>
            <w:r w:rsidRPr="00912592">
              <w:rPr>
                <w:rFonts w:cs="Times New Roman"/>
                <w:b/>
                <w:bCs/>
                <w:color w:val="000000"/>
                <w:sz w:val="20"/>
                <w:szCs w:val="20"/>
                <w:lang w:val="cs-CZ"/>
              </w:rPr>
              <w:t>Čerpání k 31. 12. 2015</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67285E12" w14:textId="77777777" w:rsidR="00AA3A5F" w:rsidRPr="00912592" w:rsidRDefault="00AA3A5F" w:rsidP="007A68D5">
            <w:pPr>
              <w:jc w:val="center"/>
              <w:rPr>
                <w:rFonts w:cs="Times New Roman"/>
                <w:b/>
                <w:bCs/>
                <w:color w:val="000000"/>
                <w:sz w:val="20"/>
                <w:szCs w:val="20"/>
                <w:lang w:val="cs-CZ"/>
              </w:rPr>
            </w:pPr>
            <w:r w:rsidRPr="00912592">
              <w:rPr>
                <w:rFonts w:cs="Times New Roman"/>
                <w:b/>
                <w:bCs/>
                <w:color w:val="000000"/>
                <w:sz w:val="20"/>
                <w:szCs w:val="20"/>
                <w:lang w:val="cs-CZ"/>
              </w:rPr>
              <w:t>Čerpání k 31. 12. 2016</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12ADD932" w14:textId="77777777" w:rsidR="00AA3A5F" w:rsidRPr="00912592" w:rsidRDefault="00AA3A5F" w:rsidP="007A68D5">
            <w:pPr>
              <w:jc w:val="center"/>
              <w:rPr>
                <w:rFonts w:cs="Times New Roman"/>
                <w:b/>
                <w:bCs/>
                <w:color w:val="000000"/>
                <w:sz w:val="20"/>
                <w:szCs w:val="20"/>
                <w:lang w:val="cs-CZ"/>
              </w:rPr>
            </w:pPr>
            <w:r w:rsidRPr="00912592">
              <w:rPr>
                <w:rFonts w:cs="Times New Roman"/>
                <w:b/>
                <w:bCs/>
                <w:color w:val="000000"/>
                <w:sz w:val="20"/>
                <w:szCs w:val="20"/>
                <w:lang w:val="cs-CZ"/>
              </w:rPr>
              <w:t>Čerpání k 31. 12. 2017</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327201EC" w14:textId="77777777" w:rsidR="00AA3A5F" w:rsidRPr="00912592" w:rsidRDefault="00AA3A5F" w:rsidP="007A68D5">
            <w:pPr>
              <w:jc w:val="center"/>
              <w:rPr>
                <w:rFonts w:cs="Times New Roman"/>
                <w:b/>
                <w:bCs/>
                <w:color w:val="000000"/>
                <w:sz w:val="20"/>
                <w:szCs w:val="20"/>
                <w:lang w:val="cs-CZ"/>
              </w:rPr>
            </w:pPr>
            <w:r w:rsidRPr="00912592">
              <w:rPr>
                <w:rFonts w:cs="Times New Roman"/>
                <w:b/>
                <w:bCs/>
                <w:color w:val="000000"/>
                <w:sz w:val="20"/>
                <w:szCs w:val="20"/>
                <w:lang w:val="cs-CZ"/>
              </w:rPr>
              <w:t>Čerpání k 31. 12. 2018</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5AC07B65" w14:textId="77777777" w:rsidR="00AA3A5F" w:rsidRPr="00912592" w:rsidRDefault="00AA3A5F" w:rsidP="007A68D5">
            <w:pPr>
              <w:jc w:val="center"/>
              <w:rPr>
                <w:rFonts w:cs="Times New Roman"/>
                <w:b/>
                <w:bCs/>
                <w:color w:val="000000"/>
                <w:sz w:val="20"/>
                <w:szCs w:val="20"/>
                <w:lang w:val="cs-CZ"/>
              </w:rPr>
            </w:pPr>
            <w:r w:rsidRPr="00912592">
              <w:rPr>
                <w:rFonts w:cs="Times New Roman"/>
                <w:b/>
                <w:bCs/>
                <w:color w:val="000000"/>
                <w:sz w:val="20"/>
                <w:szCs w:val="20"/>
                <w:lang w:val="cs-CZ"/>
              </w:rPr>
              <w:t>Čerpání k 31. 12. 2019</w:t>
            </w:r>
          </w:p>
        </w:tc>
      </w:tr>
      <w:tr w:rsidR="00AA3A5F" w:rsidRPr="00912592" w14:paraId="78B1A0CD" w14:textId="77777777" w:rsidTr="007A68D5">
        <w:trPr>
          <w:trHeight w:val="300"/>
        </w:trPr>
        <w:tc>
          <w:tcPr>
            <w:tcW w:w="4100" w:type="dxa"/>
            <w:tcBorders>
              <w:top w:val="nil"/>
              <w:left w:val="single" w:sz="4" w:space="0" w:color="auto"/>
              <w:bottom w:val="single" w:sz="4" w:space="0" w:color="auto"/>
              <w:right w:val="single" w:sz="4" w:space="0" w:color="auto"/>
            </w:tcBorders>
            <w:shd w:val="clear" w:color="auto" w:fill="auto"/>
            <w:noWrap/>
            <w:vAlign w:val="bottom"/>
            <w:hideMark/>
          </w:tcPr>
          <w:p w14:paraId="40FBC007" w14:textId="77777777" w:rsidR="00AA3A5F" w:rsidRPr="00912592" w:rsidRDefault="00AA3A5F" w:rsidP="007A68D5">
            <w:pPr>
              <w:jc w:val="left"/>
              <w:rPr>
                <w:rFonts w:cs="Times New Roman"/>
                <w:color w:val="000000"/>
                <w:sz w:val="20"/>
                <w:szCs w:val="20"/>
                <w:lang w:val="cs-CZ"/>
              </w:rPr>
            </w:pPr>
            <w:r w:rsidRPr="00912592">
              <w:rPr>
                <w:rFonts w:cs="Times New Roman"/>
                <w:color w:val="000000"/>
                <w:sz w:val="20"/>
                <w:szCs w:val="20"/>
                <w:lang w:val="cs-CZ"/>
              </w:rPr>
              <w:t>Propagace potravin značky kvality KLASA</w:t>
            </w:r>
          </w:p>
        </w:tc>
        <w:tc>
          <w:tcPr>
            <w:tcW w:w="960" w:type="dxa"/>
            <w:tcBorders>
              <w:top w:val="nil"/>
              <w:left w:val="nil"/>
              <w:bottom w:val="single" w:sz="4" w:space="0" w:color="auto"/>
              <w:right w:val="single" w:sz="4" w:space="0" w:color="auto"/>
            </w:tcBorders>
            <w:shd w:val="clear" w:color="auto" w:fill="auto"/>
            <w:noWrap/>
            <w:vAlign w:val="bottom"/>
            <w:hideMark/>
          </w:tcPr>
          <w:p w14:paraId="1502B658" w14:textId="77777777" w:rsidR="00AA3A5F" w:rsidRPr="00912592" w:rsidRDefault="00AA3A5F" w:rsidP="007A68D5">
            <w:pPr>
              <w:jc w:val="right"/>
              <w:rPr>
                <w:rFonts w:cs="Times New Roman"/>
                <w:color w:val="000000"/>
                <w:sz w:val="20"/>
                <w:szCs w:val="20"/>
                <w:lang w:val="cs-CZ"/>
              </w:rPr>
            </w:pPr>
            <w:r w:rsidRPr="00912592">
              <w:rPr>
                <w:rFonts w:cs="Times New Roman"/>
                <w:color w:val="000000"/>
                <w:sz w:val="20"/>
                <w:szCs w:val="20"/>
                <w:lang w:val="cs-CZ"/>
              </w:rPr>
              <w:t>37 640</w:t>
            </w:r>
          </w:p>
        </w:tc>
        <w:tc>
          <w:tcPr>
            <w:tcW w:w="960" w:type="dxa"/>
            <w:tcBorders>
              <w:top w:val="nil"/>
              <w:left w:val="nil"/>
              <w:bottom w:val="single" w:sz="4" w:space="0" w:color="auto"/>
              <w:right w:val="single" w:sz="4" w:space="0" w:color="auto"/>
            </w:tcBorders>
            <w:shd w:val="clear" w:color="auto" w:fill="auto"/>
            <w:noWrap/>
            <w:vAlign w:val="bottom"/>
            <w:hideMark/>
          </w:tcPr>
          <w:p w14:paraId="241A13BB" w14:textId="77777777" w:rsidR="00AA3A5F" w:rsidRPr="00912592" w:rsidRDefault="00AA3A5F" w:rsidP="007A68D5">
            <w:pPr>
              <w:jc w:val="right"/>
              <w:rPr>
                <w:rFonts w:cs="Times New Roman"/>
                <w:color w:val="000000"/>
                <w:sz w:val="20"/>
                <w:szCs w:val="20"/>
                <w:lang w:val="cs-CZ"/>
              </w:rPr>
            </w:pPr>
            <w:r w:rsidRPr="00912592">
              <w:rPr>
                <w:rFonts w:cs="Times New Roman"/>
                <w:color w:val="000000"/>
                <w:sz w:val="20"/>
                <w:szCs w:val="20"/>
                <w:lang w:val="cs-CZ"/>
              </w:rPr>
              <w:t>131 376</w:t>
            </w:r>
          </w:p>
        </w:tc>
        <w:tc>
          <w:tcPr>
            <w:tcW w:w="960" w:type="dxa"/>
            <w:tcBorders>
              <w:top w:val="nil"/>
              <w:left w:val="nil"/>
              <w:bottom w:val="single" w:sz="4" w:space="0" w:color="auto"/>
              <w:right w:val="single" w:sz="4" w:space="0" w:color="auto"/>
            </w:tcBorders>
            <w:shd w:val="clear" w:color="auto" w:fill="auto"/>
            <w:noWrap/>
            <w:vAlign w:val="bottom"/>
            <w:hideMark/>
          </w:tcPr>
          <w:p w14:paraId="1773A488" w14:textId="77777777" w:rsidR="00AA3A5F" w:rsidRPr="00912592" w:rsidRDefault="00AA3A5F" w:rsidP="007A68D5">
            <w:pPr>
              <w:jc w:val="right"/>
              <w:rPr>
                <w:rFonts w:cs="Times New Roman"/>
                <w:color w:val="000000"/>
                <w:sz w:val="20"/>
                <w:szCs w:val="20"/>
                <w:lang w:val="cs-CZ"/>
              </w:rPr>
            </w:pPr>
            <w:r w:rsidRPr="00912592">
              <w:rPr>
                <w:rFonts w:cs="Times New Roman"/>
                <w:color w:val="000000"/>
                <w:sz w:val="20"/>
                <w:szCs w:val="20"/>
                <w:lang w:val="cs-CZ"/>
              </w:rPr>
              <w:t>240 302</w:t>
            </w:r>
          </w:p>
        </w:tc>
        <w:tc>
          <w:tcPr>
            <w:tcW w:w="960" w:type="dxa"/>
            <w:tcBorders>
              <w:top w:val="nil"/>
              <w:left w:val="nil"/>
              <w:bottom w:val="single" w:sz="4" w:space="0" w:color="auto"/>
              <w:right w:val="single" w:sz="4" w:space="0" w:color="auto"/>
            </w:tcBorders>
            <w:shd w:val="clear" w:color="auto" w:fill="auto"/>
            <w:noWrap/>
            <w:vAlign w:val="bottom"/>
            <w:hideMark/>
          </w:tcPr>
          <w:p w14:paraId="4A7BC6B4" w14:textId="77777777" w:rsidR="00AA3A5F" w:rsidRPr="00912592" w:rsidRDefault="00AA3A5F" w:rsidP="007A68D5">
            <w:pPr>
              <w:jc w:val="right"/>
              <w:rPr>
                <w:rFonts w:cs="Times New Roman"/>
                <w:color w:val="000000"/>
                <w:sz w:val="20"/>
                <w:szCs w:val="20"/>
                <w:lang w:val="cs-CZ"/>
              </w:rPr>
            </w:pPr>
            <w:r w:rsidRPr="00912592">
              <w:rPr>
                <w:rFonts w:cs="Times New Roman"/>
                <w:color w:val="000000"/>
                <w:sz w:val="20"/>
                <w:szCs w:val="20"/>
                <w:lang w:val="cs-CZ"/>
              </w:rPr>
              <w:t>149 233</w:t>
            </w:r>
          </w:p>
        </w:tc>
        <w:tc>
          <w:tcPr>
            <w:tcW w:w="960" w:type="dxa"/>
            <w:tcBorders>
              <w:top w:val="nil"/>
              <w:left w:val="nil"/>
              <w:bottom w:val="single" w:sz="4" w:space="0" w:color="auto"/>
              <w:right w:val="single" w:sz="4" w:space="0" w:color="auto"/>
            </w:tcBorders>
            <w:shd w:val="clear" w:color="auto" w:fill="auto"/>
            <w:noWrap/>
            <w:vAlign w:val="bottom"/>
            <w:hideMark/>
          </w:tcPr>
          <w:p w14:paraId="0982C44E" w14:textId="77777777" w:rsidR="00AA3A5F" w:rsidRPr="00912592" w:rsidRDefault="00AA3A5F" w:rsidP="007A68D5">
            <w:pPr>
              <w:jc w:val="right"/>
              <w:rPr>
                <w:rFonts w:cs="Times New Roman"/>
                <w:color w:val="000000"/>
                <w:sz w:val="20"/>
                <w:szCs w:val="20"/>
                <w:lang w:val="cs-CZ"/>
              </w:rPr>
            </w:pPr>
            <w:r w:rsidRPr="00912592">
              <w:rPr>
                <w:rFonts w:cs="Times New Roman"/>
                <w:color w:val="000000"/>
                <w:sz w:val="20"/>
                <w:szCs w:val="20"/>
                <w:lang w:val="cs-CZ"/>
              </w:rPr>
              <w:t>162 493</w:t>
            </w:r>
          </w:p>
        </w:tc>
      </w:tr>
      <w:tr w:rsidR="00AA3A5F" w:rsidRPr="00912592" w14:paraId="06806622" w14:textId="77777777" w:rsidTr="007A68D5">
        <w:trPr>
          <w:trHeight w:val="300"/>
        </w:trPr>
        <w:tc>
          <w:tcPr>
            <w:tcW w:w="4100" w:type="dxa"/>
            <w:tcBorders>
              <w:top w:val="nil"/>
              <w:left w:val="single" w:sz="4" w:space="0" w:color="auto"/>
              <w:bottom w:val="single" w:sz="4" w:space="0" w:color="auto"/>
              <w:right w:val="single" w:sz="4" w:space="0" w:color="auto"/>
            </w:tcBorders>
            <w:shd w:val="clear" w:color="auto" w:fill="auto"/>
            <w:noWrap/>
            <w:vAlign w:val="bottom"/>
            <w:hideMark/>
          </w:tcPr>
          <w:p w14:paraId="5172C8B7" w14:textId="77777777" w:rsidR="00AA3A5F" w:rsidRPr="00912592" w:rsidRDefault="00AA3A5F" w:rsidP="007A68D5">
            <w:pPr>
              <w:jc w:val="left"/>
              <w:rPr>
                <w:rFonts w:cs="Times New Roman"/>
                <w:color w:val="000000"/>
                <w:sz w:val="20"/>
                <w:szCs w:val="20"/>
                <w:lang w:val="cs-CZ"/>
              </w:rPr>
            </w:pPr>
            <w:r w:rsidRPr="00912592">
              <w:rPr>
                <w:rFonts w:cs="Times New Roman"/>
                <w:color w:val="000000"/>
                <w:sz w:val="20"/>
                <w:szCs w:val="20"/>
                <w:lang w:val="cs-CZ"/>
              </w:rPr>
              <w:t>Projekt Regionální potravina</w:t>
            </w:r>
          </w:p>
        </w:tc>
        <w:tc>
          <w:tcPr>
            <w:tcW w:w="960" w:type="dxa"/>
            <w:tcBorders>
              <w:top w:val="nil"/>
              <w:left w:val="nil"/>
              <w:bottom w:val="single" w:sz="4" w:space="0" w:color="auto"/>
              <w:right w:val="single" w:sz="4" w:space="0" w:color="auto"/>
            </w:tcBorders>
            <w:shd w:val="clear" w:color="auto" w:fill="auto"/>
            <w:noWrap/>
            <w:vAlign w:val="bottom"/>
            <w:hideMark/>
          </w:tcPr>
          <w:p w14:paraId="3B8AF237" w14:textId="77777777" w:rsidR="00AA3A5F" w:rsidRPr="00912592" w:rsidRDefault="00AA3A5F" w:rsidP="007A68D5">
            <w:pPr>
              <w:jc w:val="right"/>
              <w:rPr>
                <w:rFonts w:cs="Times New Roman"/>
                <w:color w:val="000000"/>
                <w:sz w:val="20"/>
                <w:szCs w:val="20"/>
                <w:lang w:val="cs-CZ"/>
              </w:rPr>
            </w:pPr>
            <w:r w:rsidRPr="00912592">
              <w:rPr>
                <w:rFonts w:cs="Times New Roman"/>
                <w:color w:val="000000"/>
                <w:sz w:val="20"/>
                <w:szCs w:val="20"/>
                <w:lang w:val="cs-CZ"/>
              </w:rPr>
              <w:t>73 002</w:t>
            </w:r>
          </w:p>
        </w:tc>
        <w:tc>
          <w:tcPr>
            <w:tcW w:w="960" w:type="dxa"/>
            <w:tcBorders>
              <w:top w:val="nil"/>
              <w:left w:val="nil"/>
              <w:bottom w:val="single" w:sz="4" w:space="0" w:color="auto"/>
              <w:right w:val="single" w:sz="4" w:space="0" w:color="auto"/>
            </w:tcBorders>
            <w:shd w:val="clear" w:color="auto" w:fill="auto"/>
            <w:noWrap/>
            <w:vAlign w:val="bottom"/>
            <w:hideMark/>
          </w:tcPr>
          <w:p w14:paraId="5C7B0ABC" w14:textId="77777777" w:rsidR="00AA3A5F" w:rsidRPr="00912592" w:rsidRDefault="00AA3A5F" w:rsidP="007A68D5">
            <w:pPr>
              <w:jc w:val="right"/>
              <w:rPr>
                <w:rFonts w:cs="Times New Roman"/>
                <w:color w:val="000000"/>
                <w:sz w:val="20"/>
                <w:szCs w:val="20"/>
                <w:lang w:val="cs-CZ"/>
              </w:rPr>
            </w:pPr>
            <w:r w:rsidRPr="00912592">
              <w:rPr>
                <w:rFonts w:cs="Times New Roman"/>
                <w:color w:val="000000"/>
                <w:sz w:val="20"/>
                <w:szCs w:val="20"/>
                <w:lang w:val="cs-CZ"/>
              </w:rPr>
              <w:t>30 425</w:t>
            </w:r>
          </w:p>
        </w:tc>
        <w:tc>
          <w:tcPr>
            <w:tcW w:w="960" w:type="dxa"/>
            <w:tcBorders>
              <w:top w:val="nil"/>
              <w:left w:val="nil"/>
              <w:bottom w:val="single" w:sz="4" w:space="0" w:color="auto"/>
              <w:right w:val="single" w:sz="4" w:space="0" w:color="auto"/>
            </w:tcBorders>
            <w:shd w:val="clear" w:color="auto" w:fill="auto"/>
            <w:noWrap/>
            <w:vAlign w:val="bottom"/>
            <w:hideMark/>
          </w:tcPr>
          <w:p w14:paraId="7757B791" w14:textId="77777777" w:rsidR="00AA3A5F" w:rsidRPr="00912592" w:rsidRDefault="00AA3A5F" w:rsidP="007A68D5">
            <w:pPr>
              <w:jc w:val="right"/>
              <w:rPr>
                <w:rFonts w:cs="Times New Roman"/>
                <w:color w:val="000000"/>
                <w:sz w:val="20"/>
                <w:szCs w:val="20"/>
                <w:lang w:val="cs-CZ"/>
              </w:rPr>
            </w:pPr>
            <w:r w:rsidRPr="00912592">
              <w:rPr>
                <w:rFonts w:cs="Times New Roman"/>
                <w:color w:val="000000"/>
                <w:sz w:val="20"/>
                <w:szCs w:val="20"/>
                <w:lang w:val="cs-CZ"/>
              </w:rPr>
              <w:t>32 424</w:t>
            </w:r>
          </w:p>
        </w:tc>
        <w:tc>
          <w:tcPr>
            <w:tcW w:w="960" w:type="dxa"/>
            <w:tcBorders>
              <w:top w:val="nil"/>
              <w:left w:val="nil"/>
              <w:bottom w:val="single" w:sz="4" w:space="0" w:color="auto"/>
              <w:right w:val="single" w:sz="4" w:space="0" w:color="auto"/>
            </w:tcBorders>
            <w:shd w:val="clear" w:color="auto" w:fill="auto"/>
            <w:noWrap/>
            <w:vAlign w:val="bottom"/>
            <w:hideMark/>
          </w:tcPr>
          <w:p w14:paraId="7B2A3DBE" w14:textId="77777777" w:rsidR="00AA3A5F" w:rsidRPr="00912592" w:rsidRDefault="00AA3A5F" w:rsidP="007A68D5">
            <w:pPr>
              <w:jc w:val="right"/>
              <w:rPr>
                <w:rFonts w:cs="Times New Roman"/>
                <w:color w:val="000000"/>
                <w:sz w:val="20"/>
                <w:szCs w:val="20"/>
                <w:lang w:val="cs-CZ"/>
              </w:rPr>
            </w:pPr>
            <w:r w:rsidRPr="00912592">
              <w:rPr>
                <w:rFonts w:cs="Times New Roman"/>
                <w:color w:val="000000"/>
                <w:sz w:val="20"/>
                <w:szCs w:val="20"/>
                <w:lang w:val="cs-CZ"/>
              </w:rPr>
              <w:t>44 361</w:t>
            </w:r>
          </w:p>
        </w:tc>
        <w:tc>
          <w:tcPr>
            <w:tcW w:w="960" w:type="dxa"/>
            <w:tcBorders>
              <w:top w:val="nil"/>
              <w:left w:val="nil"/>
              <w:bottom w:val="single" w:sz="4" w:space="0" w:color="auto"/>
              <w:right w:val="single" w:sz="4" w:space="0" w:color="auto"/>
            </w:tcBorders>
            <w:shd w:val="clear" w:color="auto" w:fill="auto"/>
            <w:noWrap/>
            <w:vAlign w:val="bottom"/>
            <w:hideMark/>
          </w:tcPr>
          <w:p w14:paraId="1E8F9CD5" w14:textId="77777777" w:rsidR="00AA3A5F" w:rsidRPr="00912592" w:rsidRDefault="00AA3A5F" w:rsidP="007A68D5">
            <w:pPr>
              <w:jc w:val="right"/>
              <w:rPr>
                <w:rFonts w:cs="Times New Roman"/>
                <w:color w:val="000000"/>
                <w:sz w:val="20"/>
                <w:szCs w:val="20"/>
                <w:lang w:val="cs-CZ"/>
              </w:rPr>
            </w:pPr>
            <w:r w:rsidRPr="00912592">
              <w:rPr>
                <w:rFonts w:cs="Times New Roman"/>
                <w:color w:val="000000"/>
                <w:sz w:val="20"/>
                <w:szCs w:val="20"/>
                <w:lang w:val="cs-CZ"/>
              </w:rPr>
              <w:t>22 772</w:t>
            </w:r>
          </w:p>
        </w:tc>
      </w:tr>
      <w:tr w:rsidR="00AA3A5F" w:rsidRPr="00912592" w14:paraId="3459C662" w14:textId="77777777" w:rsidTr="007A68D5">
        <w:trPr>
          <w:trHeight w:val="300"/>
        </w:trPr>
        <w:tc>
          <w:tcPr>
            <w:tcW w:w="4100" w:type="dxa"/>
            <w:tcBorders>
              <w:top w:val="nil"/>
              <w:left w:val="single" w:sz="4" w:space="0" w:color="auto"/>
              <w:bottom w:val="single" w:sz="4" w:space="0" w:color="auto"/>
              <w:right w:val="single" w:sz="4" w:space="0" w:color="auto"/>
            </w:tcBorders>
            <w:shd w:val="clear" w:color="auto" w:fill="auto"/>
            <w:noWrap/>
            <w:vAlign w:val="bottom"/>
            <w:hideMark/>
          </w:tcPr>
          <w:p w14:paraId="06DAD629" w14:textId="77777777" w:rsidR="00AA3A5F" w:rsidRPr="00912592" w:rsidRDefault="00AA3A5F" w:rsidP="007A68D5">
            <w:pPr>
              <w:jc w:val="left"/>
              <w:rPr>
                <w:rFonts w:cs="Times New Roman"/>
                <w:b/>
                <w:bCs/>
                <w:color w:val="000000"/>
                <w:sz w:val="20"/>
                <w:szCs w:val="20"/>
                <w:lang w:val="cs-CZ"/>
              </w:rPr>
            </w:pPr>
            <w:r w:rsidRPr="00912592">
              <w:rPr>
                <w:rFonts w:cs="Times New Roman"/>
                <w:b/>
                <w:bCs/>
                <w:color w:val="000000"/>
                <w:sz w:val="20"/>
                <w:szCs w:val="20"/>
                <w:lang w:val="cs-CZ"/>
              </w:rPr>
              <w:t>Užití zdrojů na marketing   c e l k e m</w:t>
            </w:r>
          </w:p>
        </w:tc>
        <w:tc>
          <w:tcPr>
            <w:tcW w:w="960" w:type="dxa"/>
            <w:tcBorders>
              <w:top w:val="nil"/>
              <w:left w:val="nil"/>
              <w:bottom w:val="single" w:sz="4" w:space="0" w:color="auto"/>
              <w:right w:val="single" w:sz="4" w:space="0" w:color="auto"/>
            </w:tcBorders>
            <w:shd w:val="clear" w:color="auto" w:fill="auto"/>
            <w:noWrap/>
            <w:vAlign w:val="bottom"/>
            <w:hideMark/>
          </w:tcPr>
          <w:p w14:paraId="14569207" w14:textId="77777777" w:rsidR="00AA3A5F" w:rsidRPr="00912592" w:rsidRDefault="00AA3A5F" w:rsidP="007A68D5">
            <w:pPr>
              <w:jc w:val="right"/>
              <w:rPr>
                <w:rFonts w:cs="Times New Roman"/>
                <w:b/>
                <w:bCs/>
                <w:color w:val="000000"/>
                <w:sz w:val="20"/>
                <w:szCs w:val="20"/>
                <w:lang w:val="cs-CZ"/>
              </w:rPr>
            </w:pPr>
            <w:r w:rsidRPr="00912592">
              <w:rPr>
                <w:rFonts w:cs="Times New Roman"/>
                <w:b/>
                <w:bCs/>
                <w:color w:val="000000"/>
                <w:sz w:val="20"/>
                <w:szCs w:val="20"/>
                <w:lang w:val="cs-CZ"/>
              </w:rPr>
              <w:t>110 642</w:t>
            </w:r>
          </w:p>
        </w:tc>
        <w:tc>
          <w:tcPr>
            <w:tcW w:w="960" w:type="dxa"/>
            <w:tcBorders>
              <w:top w:val="nil"/>
              <w:left w:val="nil"/>
              <w:bottom w:val="single" w:sz="4" w:space="0" w:color="auto"/>
              <w:right w:val="single" w:sz="4" w:space="0" w:color="auto"/>
            </w:tcBorders>
            <w:shd w:val="clear" w:color="auto" w:fill="auto"/>
            <w:noWrap/>
            <w:vAlign w:val="bottom"/>
            <w:hideMark/>
          </w:tcPr>
          <w:p w14:paraId="582CD3AF" w14:textId="77777777" w:rsidR="00AA3A5F" w:rsidRPr="00912592" w:rsidRDefault="00AA3A5F" w:rsidP="007A68D5">
            <w:pPr>
              <w:jc w:val="right"/>
              <w:rPr>
                <w:rFonts w:cs="Times New Roman"/>
                <w:b/>
                <w:bCs/>
                <w:color w:val="000000"/>
                <w:sz w:val="20"/>
                <w:szCs w:val="20"/>
                <w:lang w:val="cs-CZ"/>
              </w:rPr>
            </w:pPr>
            <w:r w:rsidRPr="00912592">
              <w:rPr>
                <w:rFonts w:cs="Times New Roman"/>
                <w:b/>
                <w:bCs/>
                <w:color w:val="000000"/>
                <w:sz w:val="20"/>
                <w:szCs w:val="20"/>
                <w:lang w:val="cs-CZ"/>
              </w:rPr>
              <w:t>161 801</w:t>
            </w:r>
          </w:p>
        </w:tc>
        <w:tc>
          <w:tcPr>
            <w:tcW w:w="960" w:type="dxa"/>
            <w:tcBorders>
              <w:top w:val="nil"/>
              <w:left w:val="nil"/>
              <w:bottom w:val="single" w:sz="4" w:space="0" w:color="auto"/>
              <w:right w:val="single" w:sz="4" w:space="0" w:color="auto"/>
            </w:tcBorders>
            <w:shd w:val="clear" w:color="auto" w:fill="auto"/>
            <w:noWrap/>
            <w:vAlign w:val="bottom"/>
            <w:hideMark/>
          </w:tcPr>
          <w:p w14:paraId="4AC1C2CE" w14:textId="77777777" w:rsidR="00AA3A5F" w:rsidRPr="00912592" w:rsidRDefault="00AA3A5F" w:rsidP="007A68D5">
            <w:pPr>
              <w:jc w:val="right"/>
              <w:rPr>
                <w:rFonts w:cs="Times New Roman"/>
                <w:b/>
                <w:bCs/>
                <w:color w:val="000000"/>
                <w:sz w:val="20"/>
                <w:szCs w:val="20"/>
                <w:lang w:val="cs-CZ"/>
              </w:rPr>
            </w:pPr>
            <w:r w:rsidRPr="00912592">
              <w:rPr>
                <w:rFonts w:cs="Times New Roman"/>
                <w:b/>
                <w:bCs/>
                <w:color w:val="000000"/>
                <w:sz w:val="20"/>
                <w:szCs w:val="20"/>
                <w:lang w:val="cs-CZ"/>
              </w:rPr>
              <w:t>272 726</w:t>
            </w:r>
          </w:p>
        </w:tc>
        <w:tc>
          <w:tcPr>
            <w:tcW w:w="960" w:type="dxa"/>
            <w:tcBorders>
              <w:top w:val="nil"/>
              <w:left w:val="nil"/>
              <w:bottom w:val="single" w:sz="4" w:space="0" w:color="auto"/>
              <w:right w:val="single" w:sz="4" w:space="0" w:color="auto"/>
            </w:tcBorders>
            <w:shd w:val="clear" w:color="auto" w:fill="auto"/>
            <w:noWrap/>
            <w:vAlign w:val="bottom"/>
            <w:hideMark/>
          </w:tcPr>
          <w:p w14:paraId="065B37B3" w14:textId="77777777" w:rsidR="00AA3A5F" w:rsidRPr="00912592" w:rsidRDefault="00AA3A5F" w:rsidP="007A68D5">
            <w:pPr>
              <w:jc w:val="right"/>
              <w:rPr>
                <w:rFonts w:cs="Times New Roman"/>
                <w:b/>
                <w:bCs/>
                <w:color w:val="000000"/>
                <w:sz w:val="20"/>
                <w:szCs w:val="20"/>
                <w:lang w:val="cs-CZ"/>
              </w:rPr>
            </w:pPr>
            <w:r w:rsidRPr="00912592">
              <w:rPr>
                <w:rFonts w:cs="Times New Roman"/>
                <w:b/>
                <w:bCs/>
                <w:color w:val="000000"/>
                <w:sz w:val="20"/>
                <w:szCs w:val="20"/>
                <w:lang w:val="cs-CZ"/>
              </w:rPr>
              <w:t>193 594</w:t>
            </w:r>
          </w:p>
        </w:tc>
        <w:tc>
          <w:tcPr>
            <w:tcW w:w="960" w:type="dxa"/>
            <w:tcBorders>
              <w:top w:val="nil"/>
              <w:left w:val="nil"/>
              <w:bottom w:val="single" w:sz="4" w:space="0" w:color="auto"/>
              <w:right w:val="single" w:sz="4" w:space="0" w:color="auto"/>
            </w:tcBorders>
            <w:shd w:val="clear" w:color="auto" w:fill="auto"/>
            <w:noWrap/>
            <w:vAlign w:val="bottom"/>
            <w:hideMark/>
          </w:tcPr>
          <w:p w14:paraId="74747FDA" w14:textId="77777777" w:rsidR="00AA3A5F" w:rsidRPr="00912592" w:rsidRDefault="00AA3A5F" w:rsidP="007A68D5">
            <w:pPr>
              <w:jc w:val="right"/>
              <w:rPr>
                <w:rFonts w:cs="Times New Roman"/>
                <w:b/>
                <w:bCs/>
                <w:color w:val="000000"/>
                <w:sz w:val="20"/>
                <w:szCs w:val="20"/>
                <w:lang w:val="cs-CZ"/>
              </w:rPr>
            </w:pPr>
            <w:r w:rsidRPr="00912592">
              <w:rPr>
                <w:rFonts w:cs="Times New Roman"/>
                <w:b/>
                <w:bCs/>
                <w:color w:val="000000"/>
                <w:sz w:val="20"/>
                <w:szCs w:val="20"/>
                <w:lang w:val="cs-CZ"/>
              </w:rPr>
              <w:t>185 265</w:t>
            </w:r>
          </w:p>
        </w:tc>
      </w:tr>
    </w:tbl>
    <w:p w14:paraId="731C5E90" w14:textId="77777777" w:rsidR="00AA3A5F" w:rsidRPr="00B25A22" w:rsidRDefault="00AA3A5F" w:rsidP="00912592">
      <w:pPr>
        <w:pStyle w:val="UZEIZdroj"/>
        <w:rPr>
          <w:b/>
          <w:sz w:val="22"/>
        </w:rPr>
      </w:pPr>
      <w:bookmarkStart w:id="71" w:name="_Hlk45869711"/>
      <w:r w:rsidRPr="00B25A22">
        <w:t>Poznámka: Jde o finanční prostředky ze státního rozpočtu ČR.</w:t>
      </w:r>
    </w:p>
    <w:bookmarkEnd w:id="71"/>
    <w:p w14:paraId="2264A6A9" w14:textId="77777777" w:rsidR="00AA3A5F" w:rsidRPr="00B25A22" w:rsidRDefault="00AA3A5F" w:rsidP="00912592">
      <w:pPr>
        <w:pStyle w:val="UZEIZdroj"/>
      </w:pPr>
      <w:r w:rsidRPr="00B25A22">
        <w:t>Pramen: SZIF</w:t>
      </w:r>
    </w:p>
    <w:p w14:paraId="0A5A6E0D" w14:textId="77777777" w:rsidR="00AA3A5F" w:rsidRPr="00912592" w:rsidRDefault="00AA3A5F" w:rsidP="00912592">
      <w:pPr>
        <w:pStyle w:val="UZEINormaln"/>
        <w:rPr>
          <w:rFonts w:eastAsia="Calibri" w:cs="Calibri (Základní text)"/>
          <w:b/>
          <w:bCs/>
          <w:caps/>
        </w:rPr>
      </w:pPr>
      <w:r w:rsidRPr="00912592">
        <w:rPr>
          <w:rFonts w:eastAsia="Calibri" w:cs="Calibri (Základní text)"/>
          <w:b/>
          <w:bCs/>
          <w:caps/>
        </w:rPr>
        <w:t xml:space="preserve">chráněné značky zemědělských produktů a potravin EU </w:t>
      </w:r>
    </w:p>
    <w:p w14:paraId="4A3C953B" w14:textId="77777777" w:rsidR="00AA3A5F" w:rsidRPr="00B25A22" w:rsidRDefault="00AA3A5F" w:rsidP="00912592">
      <w:pPr>
        <w:pStyle w:val="UZEINormaln"/>
        <w:rPr>
          <w:rFonts w:eastAsia="Calibri"/>
        </w:rPr>
      </w:pPr>
      <w:r w:rsidRPr="00B25A22">
        <w:rPr>
          <w:rFonts w:eastAsia="Calibri"/>
        </w:rPr>
        <w:t xml:space="preserve">Chráněné značky fungují jako podpora a ochrana zemědělských produktů a potravin. Systém chráněných značek byl zaveden v EU v roce 1993 a jeho smyslem je chránit názvy zemědělských produktů a potravin před konkurencí produktů neprávem se za tyto výrobky vydávajícími. Ochrana je poskytována na základě zápisu do rejstříku EK. </w:t>
      </w:r>
    </w:p>
    <w:p w14:paraId="1135CE3B" w14:textId="77777777" w:rsidR="00AA3A5F" w:rsidRPr="00B25A22" w:rsidRDefault="00AA3A5F" w:rsidP="00912592">
      <w:pPr>
        <w:pStyle w:val="UZEINormaln"/>
        <w:rPr>
          <w:rFonts w:eastAsia="Calibri"/>
        </w:rPr>
      </w:pPr>
      <w:r w:rsidRPr="00B25A22">
        <w:rPr>
          <w:rFonts w:eastAsia="Calibri"/>
        </w:rPr>
        <w:t>CHOP - Chráněné označení původu – státy EU 28 zaregistrovaly k 24. 9. 2019 celkem 633 produktů nesoucí tuto ochrannou značku. ČR k tomuto datu eviduje 6 registrací, což jí řadí společně s Maďarskem a Nizozemskem na 6. místo v rámci EU 28. Zatím poslední zaevidování CHOP z ČR proběhlo 17. 7. 2008, byla to Všestarská cibule. K výše uvedenému datu nemá ČR u EK podanou žádnou žádost k zaevidování CHOP. Zaevidované CHOP z ČR:</w:t>
      </w:r>
      <w:r w:rsidRPr="00B25A22">
        <w:t xml:space="preserve"> </w:t>
      </w:r>
      <w:r w:rsidRPr="00B25A22">
        <w:rPr>
          <w:rFonts w:eastAsia="Calibri"/>
        </w:rPr>
        <w:t xml:space="preserve">Nošovické kysané zelí; Český kmín; </w:t>
      </w:r>
      <w:proofErr w:type="spellStart"/>
      <w:r w:rsidRPr="00B25A22">
        <w:rPr>
          <w:rFonts w:eastAsia="Calibri"/>
        </w:rPr>
        <w:t>Chamomilla</w:t>
      </w:r>
      <w:proofErr w:type="spellEnd"/>
      <w:r w:rsidRPr="00B25A22">
        <w:rPr>
          <w:rFonts w:eastAsia="Calibri"/>
        </w:rPr>
        <w:t xml:space="preserve"> bohemika; Všestarská cibule; Pohořelický kapr a Žatecký chmel. </w:t>
      </w:r>
    </w:p>
    <w:p w14:paraId="58356015" w14:textId="77777777" w:rsidR="00AA3A5F" w:rsidRPr="00B25A22" w:rsidRDefault="00AA3A5F" w:rsidP="00912592">
      <w:pPr>
        <w:pStyle w:val="UZEINormaln"/>
        <w:rPr>
          <w:rFonts w:eastAsia="Calibri"/>
        </w:rPr>
      </w:pPr>
      <w:r w:rsidRPr="00B25A22">
        <w:rPr>
          <w:rFonts w:eastAsia="Calibri"/>
        </w:rPr>
        <w:t xml:space="preserve">CHZO – Chráněné zeměpisné označení - státy EU 28 zaregistrovaly k 24. 9. 2019 celkem 734 produktů nesoucí tuto ochrannou značku. ČR k tomuto datu eviduje 23 registrací, což jí řadí společně s Polskem na 8. místo v rámci EU 28. Zatím poslední zaevidování CHZO z ČR proběhlo 6. 12. 2013, byl to Valašský </w:t>
      </w:r>
      <w:proofErr w:type="spellStart"/>
      <w:r w:rsidRPr="00B25A22">
        <w:rPr>
          <w:rFonts w:eastAsia="Calibri"/>
        </w:rPr>
        <w:t>frgál</w:t>
      </w:r>
      <w:proofErr w:type="spellEnd"/>
      <w:r w:rsidRPr="00B25A22">
        <w:rPr>
          <w:rFonts w:eastAsia="Calibri"/>
        </w:rPr>
        <w:t xml:space="preserve">. K výše uvedenému datu má ČR podanou jednu žádost k zaevidování CHZO, a to na Český mák. Zaevidované CHZO z ČR: Budějovické pivo; Budějovický měšťanský var; Českobudějovické pivo; Třeboňský kapr; Lomnické suchary; Hořické trubičky; Karlovarský suchar; Štramberské uši; Černá Hora; Březnický ležák; Brněnské pivo, Starobrněnské pivo; Mariánskolázeňské oplatky; Znojemské pivo; České pivo; Chodské pivo; Pardubický perník; Olomoucké tvarůžky; Jihočeská Zlatá Niva; Jihočeská Niva; Karlovarské oplatky; Karlovarské trojhránky; </w:t>
      </w:r>
      <w:proofErr w:type="spellStart"/>
      <w:r w:rsidRPr="00B25A22">
        <w:rPr>
          <w:rFonts w:eastAsia="Calibri"/>
        </w:rPr>
        <w:t>Chelčicko</w:t>
      </w:r>
      <w:proofErr w:type="spellEnd"/>
      <w:r w:rsidRPr="00B25A22">
        <w:rPr>
          <w:rFonts w:eastAsia="Calibri"/>
        </w:rPr>
        <w:t xml:space="preserve">- Lhenické ovoce a Valašský </w:t>
      </w:r>
      <w:proofErr w:type="spellStart"/>
      <w:r w:rsidRPr="00B25A22">
        <w:rPr>
          <w:rFonts w:eastAsia="Calibri"/>
        </w:rPr>
        <w:t>frgál</w:t>
      </w:r>
      <w:proofErr w:type="spellEnd"/>
      <w:r w:rsidRPr="00B25A22">
        <w:rPr>
          <w:rFonts w:eastAsia="Calibri"/>
        </w:rPr>
        <w:t>.</w:t>
      </w:r>
    </w:p>
    <w:p w14:paraId="1E1A1C05" w14:textId="1A0C38DB" w:rsidR="00AA3A5F" w:rsidRPr="00912592" w:rsidRDefault="00AA3A5F" w:rsidP="00912592">
      <w:pPr>
        <w:pStyle w:val="UZEINormaln"/>
        <w:rPr>
          <w:rFonts w:eastAsia="Calibri"/>
        </w:rPr>
      </w:pPr>
      <w:r w:rsidRPr="00B25A22">
        <w:rPr>
          <w:rFonts w:eastAsia="Calibri"/>
        </w:rPr>
        <w:t>ZTS – Zaručená tradiční specialita - státy EU 28 zaregistrovaly k 24. 9. 2019 celkem 66 produktů nesoucí tuto ochrannou značku. ČR k tomuto datu eviduje 5 registrací, což jí řadí společně s Belgií a Bulharskem na 3. místo v rámci EU 28. Zatím poslední zaevidování ZTS z ČR proběhlo 27. 3. 2018, byla to Pražská šunka. K výše uvedenému datu nemá ČR u EK podanou žádnou žádost k zaevidování ZTS. Zaevidované ZTS z </w:t>
      </w:r>
      <w:proofErr w:type="gramStart"/>
      <w:r w:rsidRPr="00B25A22">
        <w:rPr>
          <w:rFonts w:eastAsia="Calibri"/>
        </w:rPr>
        <w:t>ČR :</w:t>
      </w:r>
      <w:proofErr w:type="gramEnd"/>
      <w:r w:rsidRPr="00B25A22">
        <w:rPr>
          <w:rFonts w:eastAsia="Calibri"/>
        </w:rPr>
        <w:t xml:space="preserve"> Liptovská </w:t>
      </w:r>
      <w:proofErr w:type="spellStart"/>
      <w:r w:rsidRPr="00B25A22">
        <w:rPr>
          <w:rFonts w:eastAsia="Calibri"/>
        </w:rPr>
        <w:t>saláma</w:t>
      </w:r>
      <w:proofErr w:type="spellEnd"/>
      <w:r w:rsidRPr="00B25A22">
        <w:rPr>
          <w:rFonts w:eastAsia="Calibri"/>
        </w:rPr>
        <w:t xml:space="preserve">/Liptovský salám, Lovecký salám/Lovecká </w:t>
      </w:r>
      <w:proofErr w:type="spellStart"/>
      <w:r w:rsidRPr="00B25A22">
        <w:rPr>
          <w:rFonts w:eastAsia="Calibri"/>
        </w:rPr>
        <w:t>saláma</w:t>
      </w:r>
      <w:proofErr w:type="spellEnd"/>
      <w:r w:rsidRPr="00B25A22">
        <w:rPr>
          <w:rFonts w:eastAsia="Calibri"/>
        </w:rPr>
        <w:t>, Spišské párky, Špekáčky/</w:t>
      </w:r>
      <w:proofErr w:type="spellStart"/>
      <w:r w:rsidRPr="00B25A22">
        <w:rPr>
          <w:rFonts w:eastAsia="Calibri"/>
        </w:rPr>
        <w:t>Špekačky</w:t>
      </w:r>
      <w:proofErr w:type="spellEnd"/>
      <w:r w:rsidRPr="00B25A22">
        <w:rPr>
          <w:rFonts w:eastAsia="Calibri"/>
        </w:rPr>
        <w:t xml:space="preserve"> (jedná se o společný zápis se Slovenskem) a Pražská šunka.</w:t>
      </w:r>
    </w:p>
    <w:p w14:paraId="6AB1B5EB" w14:textId="77777777" w:rsidR="00AA3A5F" w:rsidRPr="00912592" w:rsidRDefault="00AA3A5F" w:rsidP="00AA3A5F">
      <w:pPr>
        <w:spacing w:after="120"/>
        <w:rPr>
          <w:rFonts w:eastAsia="Calibri" w:cs="Times New Roman"/>
          <w:b/>
          <w:caps/>
          <w:szCs w:val="24"/>
          <w:lang w:val="cs-CZ"/>
        </w:rPr>
      </w:pPr>
      <w:r w:rsidRPr="00912592">
        <w:rPr>
          <w:rFonts w:eastAsia="Calibri" w:cs="Times New Roman"/>
          <w:b/>
          <w:caps/>
          <w:szCs w:val="24"/>
          <w:lang w:val="cs-CZ"/>
        </w:rPr>
        <w:t>Stávající odvětvové značky kvality</w:t>
      </w:r>
    </w:p>
    <w:p w14:paraId="3E9CEADD" w14:textId="77777777" w:rsidR="00AA3A5F" w:rsidRPr="00912592" w:rsidRDefault="00AA3A5F" w:rsidP="00912592">
      <w:pPr>
        <w:pStyle w:val="UZEINormaln"/>
        <w:rPr>
          <w:rFonts w:eastAsia="Calibri"/>
          <w:b/>
          <w:bCs/>
        </w:rPr>
      </w:pPr>
      <w:r w:rsidRPr="00912592">
        <w:rPr>
          <w:rFonts w:eastAsia="Calibri"/>
          <w:b/>
          <w:bCs/>
        </w:rPr>
        <w:t>Mléko</w:t>
      </w:r>
    </w:p>
    <w:p w14:paraId="24EAE8BE" w14:textId="77777777" w:rsidR="00AA3A5F" w:rsidRPr="00B25A22" w:rsidRDefault="00AA3A5F" w:rsidP="00912592">
      <w:pPr>
        <w:pStyle w:val="UZEINormaln"/>
        <w:rPr>
          <w:rFonts w:eastAsia="Calibri"/>
        </w:rPr>
      </w:pPr>
      <w:r w:rsidRPr="00B25A22">
        <w:rPr>
          <w:rFonts w:eastAsia="Calibri"/>
        </w:rPr>
        <w:t xml:space="preserve">Národní podpora k budování vertikálního systému kvality se objevila v odvětví mléka, režim však zatím nebyl dotažen ke spotřebiteli. Od roku 2016 byl zaveden </w:t>
      </w:r>
      <w:r w:rsidRPr="00B25A22">
        <w:rPr>
          <w:rFonts w:eastAsia="Calibri"/>
          <w:b/>
        </w:rPr>
        <w:t xml:space="preserve">dotační titul 19 „Podpora </w:t>
      </w:r>
      <w:r w:rsidRPr="00B25A22">
        <w:rPr>
          <w:rFonts w:eastAsia="Calibri"/>
          <w:b/>
        </w:rPr>
        <w:lastRenderedPageBreak/>
        <w:t>producentům a zpracovatelům mléka na částečnou úhradu nákladů spojených s dobrovolným zapojením do režimu jakosti Q CZ“</w:t>
      </w:r>
      <w:r w:rsidRPr="00B25A22">
        <w:rPr>
          <w:rStyle w:val="Znakapoznpodarou"/>
          <w:rFonts w:eastAsia="Calibri"/>
          <w:b/>
        </w:rPr>
        <w:footnoteReference w:id="29"/>
      </w:r>
      <w:r w:rsidRPr="00B25A22">
        <w:rPr>
          <w:rFonts w:eastAsia="Calibri"/>
        </w:rPr>
        <w:t xml:space="preserve">,  opatření k podpoře výroby mléka nadstandardní kvality. </w:t>
      </w:r>
      <w:r w:rsidRPr="00B25A22">
        <w:rPr>
          <w:rFonts w:eastAsia="Calibri"/>
          <w:caps/>
        </w:rPr>
        <w:t xml:space="preserve">Režim jakosti Q CZ </w:t>
      </w:r>
      <w:r w:rsidRPr="00B25A22">
        <w:rPr>
          <w:rFonts w:eastAsia="Calibri"/>
        </w:rPr>
        <w:t xml:space="preserve">s významnou podporou státu se do povědomí veřejnosti nedostal, neboť režim končí u zpracovatelů, kde je syrové mléko od prvovýrobce z režimu Q smíšeno s mlékem mimo režim. Spotřebitel není nijak informován, zda výrobek obsahuje část mléka nadstandardní kvality či nikoliv. </w:t>
      </w:r>
    </w:p>
    <w:p w14:paraId="62EF8D4C" w14:textId="1FA1AC4E" w:rsidR="00AA3A5F" w:rsidRPr="00B25A22" w:rsidRDefault="00F86256" w:rsidP="00F86256">
      <w:pPr>
        <w:pStyle w:val="UZEITaB"/>
        <w:rPr>
          <w:rFonts w:eastAsia="Calibri"/>
        </w:rPr>
      </w:pPr>
      <w:r>
        <w:rPr>
          <w:rFonts w:eastAsia="Calibri"/>
        </w:rPr>
        <w:t xml:space="preserve"> </w:t>
      </w:r>
      <w:bookmarkStart w:id="72" w:name="_Toc81743457"/>
      <w:r w:rsidR="00AA3A5F" w:rsidRPr="00B25A22">
        <w:rPr>
          <w:rFonts w:eastAsia="Calibri"/>
        </w:rPr>
        <w:t>Podpora režimu jakosti Q CZ</w:t>
      </w:r>
      <w:bookmarkEnd w:id="72"/>
      <w:r w:rsidR="00AA3A5F" w:rsidRPr="00B25A22">
        <w:rPr>
          <w:rFonts w:eastAsia="Calibri"/>
        </w:rPr>
        <w:t xml:space="preserve"> </w:t>
      </w:r>
    </w:p>
    <w:tbl>
      <w:tblPr>
        <w:tblW w:w="5000" w:type="pct"/>
        <w:tblCellMar>
          <w:left w:w="70" w:type="dxa"/>
          <w:right w:w="70" w:type="dxa"/>
        </w:tblCellMar>
        <w:tblLook w:val="04A0" w:firstRow="1" w:lastRow="0" w:firstColumn="1" w:lastColumn="0" w:noHBand="0" w:noVBand="1"/>
      </w:tblPr>
      <w:tblGrid>
        <w:gridCol w:w="1289"/>
        <w:gridCol w:w="1905"/>
        <w:gridCol w:w="1959"/>
        <w:gridCol w:w="1958"/>
        <w:gridCol w:w="1931"/>
      </w:tblGrid>
      <w:tr w:rsidR="00AA3A5F" w:rsidRPr="00B25A22" w14:paraId="0E31DBE0" w14:textId="77777777" w:rsidTr="007A68D5">
        <w:trPr>
          <w:trHeight w:val="639"/>
        </w:trPr>
        <w:tc>
          <w:tcPr>
            <w:tcW w:w="712"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B0C995E"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Rok</w:t>
            </w:r>
          </w:p>
        </w:tc>
        <w:tc>
          <w:tcPr>
            <w:tcW w:w="1053" w:type="pct"/>
            <w:tcBorders>
              <w:top w:val="single" w:sz="12" w:space="0" w:color="auto"/>
              <w:left w:val="nil"/>
              <w:bottom w:val="single" w:sz="12" w:space="0" w:color="auto"/>
              <w:right w:val="single" w:sz="4" w:space="0" w:color="auto"/>
            </w:tcBorders>
            <w:shd w:val="clear" w:color="auto" w:fill="auto"/>
            <w:noWrap/>
            <w:vAlign w:val="center"/>
            <w:hideMark/>
          </w:tcPr>
          <w:p w14:paraId="4D646F2F"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Dotační titul</w:t>
            </w:r>
          </w:p>
        </w:tc>
        <w:tc>
          <w:tcPr>
            <w:tcW w:w="1083" w:type="pct"/>
            <w:tcBorders>
              <w:top w:val="single" w:sz="12" w:space="0" w:color="auto"/>
              <w:left w:val="nil"/>
              <w:bottom w:val="single" w:sz="12" w:space="0" w:color="auto"/>
              <w:right w:val="single" w:sz="4" w:space="0" w:color="auto"/>
            </w:tcBorders>
            <w:shd w:val="clear" w:color="auto" w:fill="auto"/>
            <w:noWrap/>
            <w:vAlign w:val="center"/>
            <w:hideMark/>
          </w:tcPr>
          <w:p w14:paraId="210A3538"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Počet žádostí</w:t>
            </w:r>
          </w:p>
        </w:tc>
        <w:tc>
          <w:tcPr>
            <w:tcW w:w="1083" w:type="pct"/>
            <w:tcBorders>
              <w:top w:val="single" w:sz="12" w:space="0" w:color="auto"/>
              <w:left w:val="nil"/>
              <w:bottom w:val="single" w:sz="12" w:space="0" w:color="auto"/>
              <w:right w:val="nil"/>
            </w:tcBorders>
            <w:shd w:val="clear" w:color="auto" w:fill="auto"/>
            <w:vAlign w:val="center"/>
            <w:hideMark/>
          </w:tcPr>
          <w:p w14:paraId="1FA86256"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Počet schválených žádostí</w:t>
            </w:r>
          </w:p>
        </w:tc>
        <w:tc>
          <w:tcPr>
            <w:tcW w:w="1068" w:type="pct"/>
            <w:tcBorders>
              <w:top w:val="single" w:sz="12" w:space="0" w:color="auto"/>
              <w:left w:val="single" w:sz="4" w:space="0" w:color="auto"/>
              <w:bottom w:val="single" w:sz="12" w:space="0" w:color="auto"/>
              <w:right w:val="single" w:sz="12" w:space="0" w:color="auto"/>
            </w:tcBorders>
            <w:shd w:val="clear" w:color="auto" w:fill="auto"/>
            <w:vAlign w:val="center"/>
            <w:hideMark/>
          </w:tcPr>
          <w:p w14:paraId="19D1518A"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 xml:space="preserve">Vyplaceno                          </w:t>
            </w:r>
            <w:proofErr w:type="gramStart"/>
            <w:r w:rsidRPr="00B25A22">
              <w:rPr>
                <w:rFonts w:cs="Times New Roman"/>
                <w:color w:val="000000"/>
                <w:sz w:val="22"/>
                <w:lang w:val="cs-CZ"/>
              </w:rPr>
              <w:t xml:space="preserve">   (</w:t>
            </w:r>
            <w:proofErr w:type="gramEnd"/>
            <w:r w:rsidRPr="00B25A22">
              <w:rPr>
                <w:rFonts w:cs="Times New Roman"/>
                <w:color w:val="000000"/>
                <w:sz w:val="22"/>
                <w:lang w:val="cs-CZ"/>
              </w:rPr>
              <w:t xml:space="preserve"> v tis. Kč)</w:t>
            </w:r>
          </w:p>
        </w:tc>
      </w:tr>
      <w:tr w:rsidR="00AA3A5F" w:rsidRPr="00B25A22" w14:paraId="46F3D0D2" w14:textId="77777777" w:rsidTr="007A68D5">
        <w:trPr>
          <w:trHeight w:val="300"/>
        </w:trPr>
        <w:tc>
          <w:tcPr>
            <w:tcW w:w="712" w:type="pct"/>
            <w:vMerge w:val="restart"/>
            <w:tcBorders>
              <w:top w:val="single" w:sz="12" w:space="0" w:color="auto"/>
              <w:left w:val="single" w:sz="12" w:space="0" w:color="auto"/>
              <w:bottom w:val="single" w:sz="8" w:space="0" w:color="000000"/>
              <w:right w:val="single" w:sz="4" w:space="0" w:color="auto"/>
            </w:tcBorders>
            <w:shd w:val="clear" w:color="auto" w:fill="auto"/>
            <w:noWrap/>
            <w:vAlign w:val="center"/>
            <w:hideMark/>
          </w:tcPr>
          <w:p w14:paraId="29CCD174"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2016</w:t>
            </w:r>
          </w:p>
        </w:tc>
        <w:tc>
          <w:tcPr>
            <w:tcW w:w="1053" w:type="pct"/>
            <w:tcBorders>
              <w:top w:val="single" w:sz="12" w:space="0" w:color="auto"/>
              <w:left w:val="nil"/>
              <w:bottom w:val="single" w:sz="4" w:space="0" w:color="auto"/>
              <w:right w:val="single" w:sz="4" w:space="0" w:color="auto"/>
            </w:tcBorders>
            <w:shd w:val="clear" w:color="auto" w:fill="auto"/>
            <w:noWrap/>
            <w:vAlign w:val="center"/>
            <w:hideMark/>
          </w:tcPr>
          <w:p w14:paraId="318C2802"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 xml:space="preserve">19 A </w:t>
            </w:r>
            <w:proofErr w:type="spellStart"/>
            <w:r w:rsidRPr="00B25A22">
              <w:rPr>
                <w:rFonts w:cs="Times New Roman"/>
                <w:color w:val="000000"/>
                <w:sz w:val="22"/>
                <w:lang w:val="cs-CZ"/>
              </w:rPr>
              <w:t>a</w:t>
            </w:r>
            <w:proofErr w:type="spellEnd"/>
          </w:p>
        </w:tc>
        <w:tc>
          <w:tcPr>
            <w:tcW w:w="1083" w:type="pct"/>
            <w:tcBorders>
              <w:top w:val="single" w:sz="12" w:space="0" w:color="auto"/>
              <w:left w:val="nil"/>
              <w:bottom w:val="single" w:sz="4" w:space="0" w:color="auto"/>
              <w:right w:val="single" w:sz="4" w:space="0" w:color="auto"/>
            </w:tcBorders>
            <w:shd w:val="clear" w:color="auto" w:fill="auto"/>
            <w:noWrap/>
            <w:vAlign w:val="center"/>
            <w:hideMark/>
          </w:tcPr>
          <w:p w14:paraId="68E79889"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858</w:t>
            </w:r>
          </w:p>
        </w:tc>
        <w:tc>
          <w:tcPr>
            <w:tcW w:w="1083" w:type="pct"/>
            <w:tcBorders>
              <w:top w:val="single" w:sz="12" w:space="0" w:color="auto"/>
              <w:left w:val="nil"/>
              <w:bottom w:val="single" w:sz="4" w:space="0" w:color="auto"/>
              <w:right w:val="nil"/>
            </w:tcBorders>
            <w:shd w:val="clear" w:color="auto" w:fill="auto"/>
            <w:vAlign w:val="center"/>
            <w:hideMark/>
          </w:tcPr>
          <w:p w14:paraId="17D3A85F"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850</w:t>
            </w:r>
          </w:p>
        </w:tc>
        <w:tc>
          <w:tcPr>
            <w:tcW w:w="1068" w:type="pct"/>
            <w:tcBorders>
              <w:top w:val="single" w:sz="12" w:space="0" w:color="auto"/>
              <w:left w:val="single" w:sz="4" w:space="0" w:color="auto"/>
              <w:bottom w:val="single" w:sz="4" w:space="0" w:color="auto"/>
              <w:right w:val="single" w:sz="12" w:space="0" w:color="auto"/>
            </w:tcBorders>
            <w:shd w:val="clear" w:color="auto" w:fill="auto"/>
            <w:vAlign w:val="center"/>
            <w:hideMark/>
          </w:tcPr>
          <w:p w14:paraId="2DEF0DDE"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24 360</w:t>
            </w:r>
          </w:p>
        </w:tc>
      </w:tr>
      <w:tr w:rsidR="00AA3A5F" w:rsidRPr="00B25A22" w14:paraId="6CB93F98" w14:textId="77777777" w:rsidTr="007A68D5">
        <w:trPr>
          <w:trHeight w:val="300"/>
        </w:trPr>
        <w:tc>
          <w:tcPr>
            <w:tcW w:w="712" w:type="pct"/>
            <w:vMerge/>
            <w:tcBorders>
              <w:top w:val="single" w:sz="8" w:space="0" w:color="auto"/>
              <w:left w:val="single" w:sz="12" w:space="0" w:color="auto"/>
              <w:bottom w:val="single" w:sz="8" w:space="0" w:color="000000"/>
              <w:right w:val="single" w:sz="4" w:space="0" w:color="auto"/>
            </w:tcBorders>
            <w:vAlign w:val="center"/>
            <w:hideMark/>
          </w:tcPr>
          <w:p w14:paraId="129ED398" w14:textId="77777777" w:rsidR="00AA3A5F" w:rsidRPr="00B25A22" w:rsidRDefault="00AA3A5F" w:rsidP="007A68D5">
            <w:pPr>
              <w:jc w:val="left"/>
              <w:rPr>
                <w:rFonts w:cs="Times New Roman"/>
                <w:color w:val="000000"/>
                <w:lang w:val="cs-CZ"/>
              </w:rPr>
            </w:pPr>
          </w:p>
        </w:tc>
        <w:tc>
          <w:tcPr>
            <w:tcW w:w="1053" w:type="pct"/>
            <w:tcBorders>
              <w:top w:val="nil"/>
              <w:left w:val="nil"/>
              <w:bottom w:val="single" w:sz="4" w:space="0" w:color="auto"/>
              <w:right w:val="single" w:sz="4" w:space="0" w:color="auto"/>
            </w:tcBorders>
            <w:shd w:val="clear" w:color="auto" w:fill="auto"/>
            <w:noWrap/>
            <w:vAlign w:val="center"/>
            <w:hideMark/>
          </w:tcPr>
          <w:p w14:paraId="722836BF" w14:textId="185BEE20" w:rsidR="00AA3A5F" w:rsidRPr="00B25A22" w:rsidRDefault="00AA3A5F" w:rsidP="00F86256">
            <w:pPr>
              <w:jc w:val="center"/>
              <w:rPr>
                <w:rFonts w:cs="Times New Roman"/>
                <w:color w:val="000000"/>
                <w:lang w:val="cs-CZ"/>
              </w:rPr>
            </w:pPr>
            <w:r w:rsidRPr="00B25A22">
              <w:rPr>
                <w:rFonts w:cs="Times New Roman"/>
                <w:color w:val="000000"/>
                <w:sz w:val="22"/>
                <w:lang w:val="cs-CZ"/>
              </w:rPr>
              <w:t>19 A b 1</w:t>
            </w:r>
          </w:p>
        </w:tc>
        <w:tc>
          <w:tcPr>
            <w:tcW w:w="1083" w:type="pct"/>
            <w:tcBorders>
              <w:top w:val="nil"/>
              <w:left w:val="nil"/>
              <w:bottom w:val="single" w:sz="4" w:space="0" w:color="auto"/>
              <w:right w:val="single" w:sz="4" w:space="0" w:color="auto"/>
            </w:tcBorders>
            <w:shd w:val="clear" w:color="auto" w:fill="auto"/>
            <w:noWrap/>
            <w:vAlign w:val="center"/>
            <w:hideMark/>
          </w:tcPr>
          <w:p w14:paraId="0BC93700"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39</w:t>
            </w:r>
          </w:p>
        </w:tc>
        <w:tc>
          <w:tcPr>
            <w:tcW w:w="1083" w:type="pct"/>
            <w:tcBorders>
              <w:top w:val="nil"/>
              <w:left w:val="nil"/>
              <w:bottom w:val="single" w:sz="4" w:space="0" w:color="auto"/>
              <w:right w:val="nil"/>
            </w:tcBorders>
            <w:shd w:val="clear" w:color="auto" w:fill="auto"/>
            <w:vAlign w:val="center"/>
            <w:hideMark/>
          </w:tcPr>
          <w:p w14:paraId="414FA6FC"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28</w:t>
            </w:r>
          </w:p>
        </w:tc>
        <w:tc>
          <w:tcPr>
            <w:tcW w:w="1068" w:type="pct"/>
            <w:tcBorders>
              <w:top w:val="nil"/>
              <w:left w:val="single" w:sz="4" w:space="0" w:color="auto"/>
              <w:bottom w:val="single" w:sz="4" w:space="0" w:color="auto"/>
              <w:right w:val="single" w:sz="12" w:space="0" w:color="auto"/>
            </w:tcBorders>
            <w:shd w:val="clear" w:color="auto" w:fill="auto"/>
            <w:vAlign w:val="center"/>
            <w:hideMark/>
          </w:tcPr>
          <w:p w14:paraId="27C5DCED"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70 184</w:t>
            </w:r>
          </w:p>
        </w:tc>
      </w:tr>
      <w:tr w:rsidR="00AA3A5F" w:rsidRPr="00B25A22" w14:paraId="267EAB5F" w14:textId="77777777" w:rsidTr="007A68D5">
        <w:trPr>
          <w:trHeight w:val="315"/>
        </w:trPr>
        <w:tc>
          <w:tcPr>
            <w:tcW w:w="712" w:type="pct"/>
            <w:vMerge/>
            <w:tcBorders>
              <w:top w:val="single" w:sz="8" w:space="0" w:color="auto"/>
              <w:left w:val="single" w:sz="12" w:space="0" w:color="auto"/>
              <w:bottom w:val="single" w:sz="12" w:space="0" w:color="auto"/>
              <w:right w:val="single" w:sz="4" w:space="0" w:color="auto"/>
            </w:tcBorders>
            <w:vAlign w:val="center"/>
            <w:hideMark/>
          </w:tcPr>
          <w:p w14:paraId="19C99FB5" w14:textId="77777777" w:rsidR="00AA3A5F" w:rsidRPr="00B25A22" w:rsidRDefault="00AA3A5F" w:rsidP="007A68D5">
            <w:pPr>
              <w:jc w:val="left"/>
              <w:rPr>
                <w:rFonts w:cs="Times New Roman"/>
                <w:color w:val="000000"/>
                <w:lang w:val="cs-CZ"/>
              </w:rPr>
            </w:pPr>
          </w:p>
        </w:tc>
        <w:tc>
          <w:tcPr>
            <w:tcW w:w="1053" w:type="pct"/>
            <w:tcBorders>
              <w:top w:val="nil"/>
              <w:left w:val="nil"/>
              <w:bottom w:val="single" w:sz="12" w:space="0" w:color="auto"/>
              <w:right w:val="single" w:sz="4" w:space="0" w:color="auto"/>
            </w:tcBorders>
            <w:shd w:val="clear" w:color="auto" w:fill="auto"/>
            <w:noWrap/>
            <w:vAlign w:val="center"/>
            <w:hideMark/>
          </w:tcPr>
          <w:p w14:paraId="6700B566"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19 A b 2</w:t>
            </w:r>
          </w:p>
        </w:tc>
        <w:tc>
          <w:tcPr>
            <w:tcW w:w="1083" w:type="pct"/>
            <w:tcBorders>
              <w:top w:val="nil"/>
              <w:left w:val="nil"/>
              <w:bottom w:val="single" w:sz="12" w:space="0" w:color="auto"/>
              <w:right w:val="single" w:sz="4" w:space="0" w:color="auto"/>
            </w:tcBorders>
            <w:shd w:val="clear" w:color="auto" w:fill="auto"/>
            <w:noWrap/>
            <w:vAlign w:val="center"/>
            <w:hideMark/>
          </w:tcPr>
          <w:p w14:paraId="213BF14F"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6</w:t>
            </w:r>
          </w:p>
        </w:tc>
        <w:tc>
          <w:tcPr>
            <w:tcW w:w="1083" w:type="pct"/>
            <w:tcBorders>
              <w:top w:val="nil"/>
              <w:left w:val="nil"/>
              <w:bottom w:val="single" w:sz="12" w:space="0" w:color="auto"/>
              <w:right w:val="nil"/>
            </w:tcBorders>
            <w:shd w:val="clear" w:color="auto" w:fill="auto"/>
            <w:vAlign w:val="center"/>
            <w:hideMark/>
          </w:tcPr>
          <w:p w14:paraId="13A522B8"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1</w:t>
            </w:r>
          </w:p>
        </w:tc>
        <w:tc>
          <w:tcPr>
            <w:tcW w:w="1068" w:type="pct"/>
            <w:tcBorders>
              <w:top w:val="nil"/>
              <w:left w:val="single" w:sz="4" w:space="0" w:color="auto"/>
              <w:bottom w:val="single" w:sz="12" w:space="0" w:color="auto"/>
              <w:right w:val="single" w:sz="12" w:space="0" w:color="auto"/>
            </w:tcBorders>
            <w:shd w:val="clear" w:color="auto" w:fill="auto"/>
            <w:vAlign w:val="center"/>
            <w:hideMark/>
          </w:tcPr>
          <w:p w14:paraId="4131971B"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238 705</w:t>
            </w:r>
          </w:p>
        </w:tc>
      </w:tr>
      <w:tr w:rsidR="00AA3A5F" w:rsidRPr="00B25A22" w14:paraId="3DF38C97" w14:textId="77777777" w:rsidTr="007A68D5">
        <w:trPr>
          <w:trHeight w:val="300"/>
        </w:trPr>
        <w:tc>
          <w:tcPr>
            <w:tcW w:w="712" w:type="pct"/>
            <w:vMerge w:val="restart"/>
            <w:tcBorders>
              <w:top w:val="single" w:sz="12" w:space="0" w:color="auto"/>
              <w:left w:val="single" w:sz="12" w:space="0" w:color="auto"/>
              <w:bottom w:val="single" w:sz="8" w:space="0" w:color="000000"/>
              <w:right w:val="single" w:sz="4" w:space="0" w:color="auto"/>
            </w:tcBorders>
            <w:shd w:val="clear" w:color="auto" w:fill="auto"/>
            <w:noWrap/>
            <w:vAlign w:val="center"/>
            <w:hideMark/>
          </w:tcPr>
          <w:p w14:paraId="648116B4" w14:textId="77777777" w:rsidR="00AA3A5F" w:rsidRPr="00B25A22" w:rsidRDefault="00AA3A5F" w:rsidP="007A68D5">
            <w:pPr>
              <w:jc w:val="center"/>
              <w:rPr>
                <w:rFonts w:cs="Times New Roman"/>
                <w:color w:val="000000"/>
                <w:lang w:val="cs-CZ"/>
              </w:rPr>
            </w:pPr>
            <w:r w:rsidRPr="00B25A22">
              <w:rPr>
                <w:rFonts w:cs="Times New Roman"/>
                <w:color w:val="000000"/>
                <w:sz w:val="22"/>
                <w:lang w:val="cs-CZ"/>
              </w:rPr>
              <w:t>2017</w:t>
            </w:r>
          </w:p>
        </w:tc>
        <w:tc>
          <w:tcPr>
            <w:tcW w:w="1053" w:type="pct"/>
            <w:tcBorders>
              <w:top w:val="single" w:sz="12" w:space="0" w:color="auto"/>
              <w:left w:val="nil"/>
              <w:bottom w:val="single" w:sz="4" w:space="0" w:color="auto"/>
              <w:right w:val="single" w:sz="4" w:space="0" w:color="auto"/>
            </w:tcBorders>
            <w:shd w:val="clear" w:color="auto" w:fill="auto"/>
            <w:noWrap/>
            <w:vAlign w:val="bottom"/>
            <w:hideMark/>
          </w:tcPr>
          <w:p w14:paraId="4750E443"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 xml:space="preserve">19 A </w:t>
            </w:r>
            <w:proofErr w:type="spellStart"/>
            <w:r w:rsidRPr="00B25A22">
              <w:rPr>
                <w:rFonts w:cs="Times New Roman"/>
                <w:color w:val="000000"/>
                <w:sz w:val="22"/>
                <w:lang w:val="cs-CZ"/>
              </w:rPr>
              <w:t>a</w:t>
            </w:r>
            <w:proofErr w:type="spellEnd"/>
          </w:p>
        </w:tc>
        <w:tc>
          <w:tcPr>
            <w:tcW w:w="1083" w:type="pct"/>
            <w:tcBorders>
              <w:top w:val="single" w:sz="12" w:space="0" w:color="auto"/>
              <w:left w:val="nil"/>
              <w:bottom w:val="single" w:sz="4" w:space="0" w:color="auto"/>
              <w:right w:val="single" w:sz="4" w:space="0" w:color="auto"/>
            </w:tcBorders>
            <w:shd w:val="clear" w:color="auto" w:fill="auto"/>
            <w:noWrap/>
            <w:vAlign w:val="bottom"/>
            <w:hideMark/>
          </w:tcPr>
          <w:p w14:paraId="0551B543"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912</w:t>
            </w:r>
          </w:p>
        </w:tc>
        <w:tc>
          <w:tcPr>
            <w:tcW w:w="1083" w:type="pct"/>
            <w:tcBorders>
              <w:top w:val="single" w:sz="12" w:space="0" w:color="auto"/>
              <w:left w:val="nil"/>
              <w:bottom w:val="single" w:sz="4" w:space="0" w:color="auto"/>
              <w:right w:val="nil"/>
            </w:tcBorders>
            <w:shd w:val="clear" w:color="auto" w:fill="auto"/>
            <w:noWrap/>
            <w:vAlign w:val="bottom"/>
            <w:hideMark/>
          </w:tcPr>
          <w:p w14:paraId="2AA3736E"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905</w:t>
            </w:r>
          </w:p>
        </w:tc>
        <w:tc>
          <w:tcPr>
            <w:tcW w:w="1068" w:type="pct"/>
            <w:tcBorders>
              <w:top w:val="single" w:sz="12" w:space="0" w:color="auto"/>
              <w:left w:val="single" w:sz="4" w:space="0" w:color="auto"/>
              <w:bottom w:val="single" w:sz="4" w:space="0" w:color="auto"/>
              <w:right w:val="single" w:sz="12" w:space="0" w:color="auto"/>
            </w:tcBorders>
            <w:shd w:val="clear" w:color="auto" w:fill="auto"/>
            <w:noWrap/>
            <w:vAlign w:val="bottom"/>
            <w:hideMark/>
          </w:tcPr>
          <w:p w14:paraId="5B8FFD41"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34 737</w:t>
            </w:r>
          </w:p>
        </w:tc>
      </w:tr>
      <w:tr w:rsidR="00AA3A5F" w:rsidRPr="00B25A22" w14:paraId="205E6C99" w14:textId="77777777" w:rsidTr="007A68D5">
        <w:trPr>
          <w:trHeight w:val="300"/>
        </w:trPr>
        <w:tc>
          <w:tcPr>
            <w:tcW w:w="712" w:type="pct"/>
            <w:vMerge/>
            <w:tcBorders>
              <w:top w:val="nil"/>
              <w:left w:val="single" w:sz="12" w:space="0" w:color="auto"/>
              <w:bottom w:val="single" w:sz="8" w:space="0" w:color="000000"/>
              <w:right w:val="single" w:sz="4" w:space="0" w:color="auto"/>
            </w:tcBorders>
            <w:vAlign w:val="center"/>
            <w:hideMark/>
          </w:tcPr>
          <w:p w14:paraId="43655EDD" w14:textId="77777777" w:rsidR="00AA3A5F" w:rsidRPr="00B25A22" w:rsidRDefault="00AA3A5F" w:rsidP="007A68D5">
            <w:pPr>
              <w:jc w:val="left"/>
              <w:rPr>
                <w:rFonts w:cs="Times New Roman"/>
                <w:color w:val="000000"/>
                <w:lang w:val="cs-CZ"/>
              </w:rPr>
            </w:pPr>
          </w:p>
        </w:tc>
        <w:tc>
          <w:tcPr>
            <w:tcW w:w="1053" w:type="pct"/>
            <w:tcBorders>
              <w:top w:val="nil"/>
              <w:left w:val="nil"/>
              <w:bottom w:val="single" w:sz="4" w:space="0" w:color="auto"/>
              <w:right w:val="single" w:sz="4" w:space="0" w:color="auto"/>
            </w:tcBorders>
            <w:shd w:val="clear" w:color="auto" w:fill="auto"/>
            <w:noWrap/>
            <w:vAlign w:val="bottom"/>
            <w:hideMark/>
          </w:tcPr>
          <w:p w14:paraId="22F50E3E" w14:textId="19CB0789" w:rsidR="00AA3A5F" w:rsidRPr="00B25A22" w:rsidRDefault="00AA3A5F" w:rsidP="00F86256">
            <w:pPr>
              <w:jc w:val="center"/>
              <w:rPr>
                <w:rFonts w:cs="Times New Roman"/>
                <w:color w:val="000000"/>
                <w:lang w:val="cs-CZ"/>
              </w:rPr>
            </w:pPr>
            <w:r w:rsidRPr="00B25A22">
              <w:rPr>
                <w:rFonts w:cs="Times New Roman"/>
                <w:color w:val="000000"/>
                <w:sz w:val="22"/>
                <w:lang w:val="cs-CZ"/>
              </w:rPr>
              <w:t>19 A b 1</w:t>
            </w:r>
          </w:p>
        </w:tc>
        <w:tc>
          <w:tcPr>
            <w:tcW w:w="1083" w:type="pct"/>
            <w:tcBorders>
              <w:top w:val="nil"/>
              <w:left w:val="nil"/>
              <w:bottom w:val="single" w:sz="4" w:space="0" w:color="auto"/>
              <w:right w:val="single" w:sz="4" w:space="0" w:color="auto"/>
            </w:tcBorders>
            <w:shd w:val="clear" w:color="auto" w:fill="auto"/>
            <w:noWrap/>
            <w:vAlign w:val="bottom"/>
            <w:hideMark/>
          </w:tcPr>
          <w:p w14:paraId="2E301EB7"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41</w:t>
            </w:r>
          </w:p>
        </w:tc>
        <w:tc>
          <w:tcPr>
            <w:tcW w:w="1083" w:type="pct"/>
            <w:tcBorders>
              <w:top w:val="nil"/>
              <w:left w:val="nil"/>
              <w:bottom w:val="single" w:sz="4" w:space="0" w:color="auto"/>
              <w:right w:val="nil"/>
            </w:tcBorders>
            <w:shd w:val="clear" w:color="auto" w:fill="auto"/>
            <w:noWrap/>
            <w:vAlign w:val="bottom"/>
            <w:hideMark/>
          </w:tcPr>
          <w:p w14:paraId="0717232F"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36</w:t>
            </w:r>
          </w:p>
        </w:tc>
        <w:tc>
          <w:tcPr>
            <w:tcW w:w="1068" w:type="pct"/>
            <w:tcBorders>
              <w:top w:val="nil"/>
              <w:left w:val="single" w:sz="4" w:space="0" w:color="auto"/>
              <w:bottom w:val="single" w:sz="4" w:space="0" w:color="auto"/>
              <w:right w:val="single" w:sz="12" w:space="0" w:color="auto"/>
            </w:tcBorders>
            <w:shd w:val="clear" w:color="auto" w:fill="auto"/>
            <w:noWrap/>
            <w:vAlign w:val="bottom"/>
            <w:hideMark/>
          </w:tcPr>
          <w:p w14:paraId="1DAD673E"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150 204</w:t>
            </w:r>
          </w:p>
        </w:tc>
      </w:tr>
      <w:tr w:rsidR="00AA3A5F" w:rsidRPr="00B25A22" w14:paraId="2B3F50A9" w14:textId="77777777" w:rsidTr="007A68D5">
        <w:trPr>
          <w:trHeight w:val="315"/>
        </w:trPr>
        <w:tc>
          <w:tcPr>
            <w:tcW w:w="712" w:type="pct"/>
            <w:vMerge/>
            <w:tcBorders>
              <w:top w:val="nil"/>
              <w:left w:val="single" w:sz="12" w:space="0" w:color="auto"/>
              <w:bottom w:val="single" w:sz="12" w:space="0" w:color="auto"/>
              <w:right w:val="single" w:sz="4" w:space="0" w:color="auto"/>
            </w:tcBorders>
            <w:vAlign w:val="center"/>
            <w:hideMark/>
          </w:tcPr>
          <w:p w14:paraId="6178F076" w14:textId="77777777" w:rsidR="00AA3A5F" w:rsidRPr="00B25A22" w:rsidRDefault="00AA3A5F" w:rsidP="007A68D5">
            <w:pPr>
              <w:jc w:val="left"/>
              <w:rPr>
                <w:rFonts w:cs="Times New Roman"/>
                <w:color w:val="000000"/>
                <w:lang w:val="cs-CZ"/>
              </w:rPr>
            </w:pPr>
          </w:p>
        </w:tc>
        <w:tc>
          <w:tcPr>
            <w:tcW w:w="1053" w:type="pct"/>
            <w:tcBorders>
              <w:top w:val="nil"/>
              <w:left w:val="nil"/>
              <w:bottom w:val="single" w:sz="12" w:space="0" w:color="auto"/>
              <w:right w:val="single" w:sz="4" w:space="0" w:color="auto"/>
            </w:tcBorders>
            <w:shd w:val="clear" w:color="auto" w:fill="auto"/>
            <w:noWrap/>
            <w:vAlign w:val="bottom"/>
            <w:hideMark/>
          </w:tcPr>
          <w:p w14:paraId="77ADD89F"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19 A b 2</w:t>
            </w:r>
          </w:p>
        </w:tc>
        <w:tc>
          <w:tcPr>
            <w:tcW w:w="1083" w:type="pct"/>
            <w:tcBorders>
              <w:top w:val="nil"/>
              <w:left w:val="nil"/>
              <w:bottom w:val="single" w:sz="12" w:space="0" w:color="auto"/>
              <w:right w:val="single" w:sz="4" w:space="0" w:color="auto"/>
            </w:tcBorders>
            <w:shd w:val="clear" w:color="auto" w:fill="auto"/>
            <w:noWrap/>
            <w:vAlign w:val="bottom"/>
            <w:hideMark/>
          </w:tcPr>
          <w:p w14:paraId="635C5255"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5</w:t>
            </w:r>
          </w:p>
        </w:tc>
        <w:tc>
          <w:tcPr>
            <w:tcW w:w="1083" w:type="pct"/>
            <w:tcBorders>
              <w:top w:val="nil"/>
              <w:left w:val="nil"/>
              <w:bottom w:val="single" w:sz="12" w:space="0" w:color="auto"/>
              <w:right w:val="nil"/>
            </w:tcBorders>
            <w:shd w:val="clear" w:color="auto" w:fill="auto"/>
            <w:noWrap/>
            <w:vAlign w:val="bottom"/>
            <w:hideMark/>
          </w:tcPr>
          <w:p w14:paraId="67CF6968"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1</w:t>
            </w:r>
          </w:p>
        </w:tc>
        <w:tc>
          <w:tcPr>
            <w:tcW w:w="1068" w:type="pct"/>
            <w:tcBorders>
              <w:top w:val="nil"/>
              <w:left w:val="single" w:sz="4" w:space="0" w:color="auto"/>
              <w:bottom w:val="single" w:sz="12" w:space="0" w:color="auto"/>
              <w:right w:val="single" w:sz="12" w:space="0" w:color="auto"/>
            </w:tcBorders>
            <w:shd w:val="clear" w:color="auto" w:fill="auto"/>
            <w:noWrap/>
            <w:vAlign w:val="bottom"/>
            <w:hideMark/>
          </w:tcPr>
          <w:p w14:paraId="1B0BB584" w14:textId="77777777" w:rsidR="00AA3A5F" w:rsidRPr="00B25A22" w:rsidRDefault="00AA3A5F" w:rsidP="00F86256">
            <w:pPr>
              <w:jc w:val="center"/>
              <w:rPr>
                <w:rFonts w:cs="Times New Roman"/>
                <w:color w:val="000000"/>
                <w:lang w:val="cs-CZ"/>
              </w:rPr>
            </w:pPr>
            <w:r w:rsidRPr="00B25A22">
              <w:rPr>
                <w:rFonts w:cs="Times New Roman"/>
                <w:color w:val="000000"/>
                <w:sz w:val="22"/>
                <w:lang w:val="cs-CZ"/>
              </w:rPr>
              <w:t>120 000</w:t>
            </w:r>
          </w:p>
        </w:tc>
      </w:tr>
    </w:tbl>
    <w:p w14:paraId="370636B7" w14:textId="77777777" w:rsidR="00AA3A5F" w:rsidRPr="00B25A22" w:rsidRDefault="00AA3A5F" w:rsidP="00F86256">
      <w:pPr>
        <w:pStyle w:val="UZEIZdroj"/>
      </w:pPr>
      <w:r w:rsidRPr="00B25A22">
        <w:t>Pramen: MZe (</w:t>
      </w:r>
      <w:proofErr w:type="gramStart"/>
      <w:r w:rsidRPr="00B25A22">
        <w:t>2017,b</w:t>
      </w:r>
      <w:proofErr w:type="gramEnd"/>
      <w:r w:rsidRPr="00B25A22">
        <w:t>); (MZe 2018)</w:t>
      </w:r>
    </w:p>
    <w:p w14:paraId="046DE3B9" w14:textId="77777777" w:rsidR="00AA3A5F" w:rsidRPr="00F86256" w:rsidRDefault="00AA3A5F" w:rsidP="00F86256">
      <w:pPr>
        <w:pStyle w:val="UZEINormaln"/>
        <w:rPr>
          <w:rFonts w:eastAsia="Calibri"/>
          <w:b/>
          <w:bCs/>
        </w:rPr>
      </w:pPr>
      <w:r w:rsidRPr="00F86256">
        <w:rPr>
          <w:rFonts w:eastAsia="Calibri"/>
          <w:b/>
          <w:bCs/>
        </w:rPr>
        <w:t>Brambory</w:t>
      </w:r>
    </w:p>
    <w:p w14:paraId="06C5F080" w14:textId="77777777" w:rsidR="00AA3A5F" w:rsidRPr="00B25A22" w:rsidRDefault="00AA3A5F" w:rsidP="00F86256">
      <w:pPr>
        <w:pStyle w:val="UZEINormaln"/>
        <w:rPr>
          <w:rFonts w:eastAsia="Calibri"/>
        </w:rPr>
      </w:pPr>
      <w:r w:rsidRPr="00B25A22">
        <w:rPr>
          <w:rFonts w:eastAsia="Calibri"/>
        </w:rPr>
        <w:t xml:space="preserve">Ve spolupráci ČBS, VÚB a MZe byl připraven projekt na podporu pěstování konzumních brambor </w:t>
      </w:r>
      <w:r w:rsidRPr="00B25A22">
        <w:rPr>
          <w:rFonts w:eastAsia="Calibri"/>
          <w:b/>
        </w:rPr>
        <w:t>Integrovaná produkce (dále jen „IPKB“)</w:t>
      </w:r>
      <w:r w:rsidRPr="00B25A22">
        <w:rPr>
          <w:rFonts w:eastAsia="Calibri"/>
        </w:rPr>
        <w:t xml:space="preserve"> </w:t>
      </w:r>
      <w:r w:rsidRPr="00B25A22">
        <w:rPr>
          <w:rFonts w:eastAsia="Calibri"/>
          <w:b/>
        </w:rPr>
        <w:t xml:space="preserve">konzumních brambor. </w:t>
      </w:r>
      <w:r w:rsidRPr="00B25A22">
        <w:rPr>
          <w:rFonts w:eastAsia="Calibri"/>
        </w:rPr>
        <w:t xml:space="preserve">Jde o systém vertikální kvality v rámci odvětví. Projekt by měl spotřebitelům garantovat určitou kvalitu brambor a zavést systém pěstování, který bude šetrný k životnímu prostředí. Systém by měl limitovat používání pesticidů na ochranu rostlin. Zároveň zahrnuje dané postupy při kontrole kvality brambor. Byly nastaveny podmínky IPKB, které prezentují způsob zemědělského hospodaření, jehož základním cílem je zajištění trvale udržitelného rozvoje, který umožňuje zachovávat přirozené funkce </w:t>
      </w:r>
      <w:proofErr w:type="spellStart"/>
      <w:r w:rsidRPr="00B25A22">
        <w:rPr>
          <w:rFonts w:eastAsia="Calibri"/>
        </w:rPr>
        <w:t>agroekosystému</w:t>
      </w:r>
      <w:proofErr w:type="spellEnd"/>
      <w:r w:rsidRPr="00B25A22">
        <w:rPr>
          <w:rFonts w:eastAsia="Calibri"/>
        </w:rPr>
        <w:t xml:space="preserve"> a ostatních ekosystémů, jež jsou zemědělskou produkcí přímo či nepřímo ovlivňovány a která vyžaduje smysluplný soulad mezi biologickými, technickými a chemickými opatřeními. Předpokládá se snížení spotřeby minerálních hnojiv a zvýšení organických hnojiv. Projekt čeká na notifikaci EU. Projekt předpokládá spolufinancování státu újmy pěstitelům brambor spojených se zvýšením nákladů na integrovanou produkci. V maloobchodě by měly být produkty vybaveny věrohodnými a doložitelnými informacemi pro spotřebitele. Reakce spotřebitelů není dosud ověřena,</w:t>
      </w:r>
    </w:p>
    <w:p w14:paraId="72A80C21" w14:textId="77777777" w:rsidR="00AA3A5F" w:rsidRPr="00B25A22" w:rsidRDefault="00AA3A5F" w:rsidP="00F86256">
      <w:pPr>
        <w:pStyle w:val="UZEINormaln"/>
        <w:rPr>
          <w:rFonts w:eastAsia="Calibri"/>
          <w:b/>
        </w:rPr>
      </w:pPr>
      <w:r w:rsidRPr="00B25A22">
        <w:rPr>
          <w:rFonts w:eastAsia="Calibri"/>
          <w:b/>
        </w:rPr>
        <w:t>Zelenina</w:t>
      </w:r>
    </w:p>
    <w:p w14:paraId="33E63F95" w14:textId="6299AF23" w:rsidR="00AA3A5F" w:rsidRDefault="00AA3A5F" w:rsidP="00F86256">
      <w:pPr>
        <w:pStyle w:val="UZEINormaln"/>
        <w:rPr>
          <w:rFonts w:eastAsia="Calibri"/>
        </w:rPr>
      </w:pPr>
      <w:r w:rsidRPr="00B25A22">
        <w:rPr>
          <w:rFonts w:eastAsia="Calibri"/>
        </w:rPr>
        <w:t xml:space="preserve">Zelináři využívají systém </w:t>
      </w:r>
      <w:r w:rsidRPr="00B25A22">
        <w:rPr>
          <w:rFonts w:eastAsia="Calibri"/>
          <w:b/>
        </w:rPr>
        <w:t>integrované produkce zeleniny</w:t>
      </w:r>
      <w:r w:rsidRPr="00B25A22">
        <w:rPr>
          <w:rFonts w:eastAsia="Calibri"/>
        </w:rPr>
        <w:t xml:space="preserve"> (IPZ) a jsou sdruženi v Svazu pro integrovaný systém produkce zeleniny. V maloobchodě jsou produkty opatřeny značkou IPZ.</w:t>
      </w:r>
    </w:p>
    <w:p w14:paraId="3CE0BBAA" w14:textId="148C3C75" w:rsidR="00F86256" w:rsidRDefault="00F86256" w:rsidP="00F86256">
      <w:pPr>
        <w:pStyle w:val="UZEINormaln"/>
        <w:rPr>
          <w:rFonts w:eastAsia="Calibri"/>
        </w:rPr>
      </w:pPr>
    </w:p>
    <w:p w14:paraId="62F803DB" w14:textId="5FB8E0F7" w:rsidR="00F86256" w:rsidRDefault="00F86256" w:rsidP="00F86256">
      <w:pPr>
        <w:pStyle w:val="UZEINormaln"/>
        <w:rPr>
          <w:rFonts w:eastAsia="Calibri"/>
        </w:rPr>
      </w:pPr>
    </w:p>
    <w:p w14:paraId="529B5FF6" w14:textId="2DBD405A" w:rsidR="00F86256" w:rsidRDefault="00F86256" w:rsidP="00F86256">
      <w:pPr>
        <w:pStyle w:val="UZEINormaln"/>
        <w:rPr>
          <w:rFonts w:eastAsia="Calibri"/>
        </w:rPr>
      </w:pPr>
    </w:p>
    <w:p w14:paraId="505A8A52" w14:textId="3C794C86" w:rsidR="00F86256" w:rsidRDefault="00F86256" w:rsidP="00F86256">
      <w:pPr>
        <w:pStyle w:val="UZEINormaln"/>
        <w:rPr>
          <w:rFonts w:eastAsia="Calibri"/>
        </w:rPr>
      </w:pPr>
    </w:p>
    <w:p w14:paraId="14797744" w14:textId="12E1233A" w:rsidR="00F86256" w:rsidRDefault="00F86256" w:rsidP="00F86256">
      <w:pPr>
        <w:pStyle w:val="UZEINormaln"/>
        <w:rPr>
          <w:rFonts w:eastAsia="Calibri"/>
        </w:rPr>
      </w:pPr>
    </w:p>
    <w:p w14:paraId="62113266" w14:textId="77777777" w:rsidR="00F86256" w:rsidRPr="00B25A22" w:rsidRDefault="00F86256" w:rsidP="00F86256">
      <w:pPr>
        <w:pStyle w:val="UZEINormaln"/>
        <w:rPr>
          <w:rFonts w:eastAsia="Calibri"/>
        </w:rPr>
      </w:pPr>
    </w:p>
    <w:p w14:paraId="2321F8B1" w14:textId="2ACBAC31" w:rsidR="00AA3A5F" w:rsidRPr="00B25A22" w:rsidRDefault="00F86256" w:rsidP="00F86256">
      <w:pPr>
        <w:pStyle w:val="UZEITaB"/>
      </w:pPr>
      <w:r>
        <w:t xml:space="preserve"> </w:t>
      </w:r>
      <w:bookmarkStart w:id="73" w:name="_Toc81743458"/>
      <w:r w:rsidR="00AA3A5F" w:rsidRPr="00B25A22">
        <w:t>Vývoj počtu a ploch pěstitelů zeleniny v rámci systému IPZ</w:t>
      </w:r>
      <w:bookmarkEnd w:id="73"/>
    </w:p>
    <w:tbl>
      <w:tblPr>
        <w:tblW w:w="0" w:type="auto"/>
        <w:tblInd w:w="-23" w:type="dxa"/>
        <w:tblCellMar>
          <w:left w:w="70" w:type="dxa"/>
          <w:right w:w="70" w:type="dxa"/>
        </w:tblCellMar>
        <w:tblLook w:val="04A0" w:firstRow="1" w:lastRow="0" w:firstColumn="1" w:lastColumn="0" w:noHBand="0" w:noVBand="1"/>
      </w:tblPr>
      <w:tblGrid>
        <w:gridCol w:w="540"/>
        <w:gridCol w:w="1738"/>
        <w:gridCol w:w="1430"/>
        <w:gridCol w:w="1448"/>
        <w:gridCol w:w="1174"/>
        <w:gridCol w:w="1509"/>
        <w:gridCol w:w="1226"/>
      </w:tblGrid>
      <w:tr w:rsidR="00AA3A5F" w:rsidRPr="000703B9" w14:paraId="7B675D9C" w14:textId="77777777" w:rsidTr="007A68D5">
        <w:trPr>
          <w:trHeight w:val="315"/>
        </w:trPr>
        <w:tc>
          <w:tcPr>
            <w:tcW w:w="0" w:type="auto"/>
            <w:vMerge w:val="restart"/>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694E75AA" w14:textId="77777777" w:rsidR="00AA3A5F" w:rsidRPr="00F86256" w:rsidRDefault="00AA3A5F" w:rsidP="007A68D5">
            <w:pPr>
              <w:jc w:val="left"/>
              <w:rPr>
                <w:rFonts w:cs="Times New Roman"/>
                <w:sz w:val="20"/>
                <w:szCs w:val="20"/>
                <w:lang w:val="cs-CZ"/>
              </w:rPr>
            </w:pPr>
            <w:r w:rsidRPr="00F86256">
              <w:rPr>
                <w:rFonts w:cs="Times New Roman"/>
                <w:sz w:val="20"/>
                <w:szCs w:val="20"/>
                <w:lang w:val="cs-CZ"/>
              </w:rPr>
              <w:t> </w:t>
            </w:r>
          </w:p>
        </w:tc>
        <w:tc>
          <w:tcPr>
            <w:tcW w:w="0" w:type="auto"/>
            <w:gridSpan w:val="2"/>
            <w:vMerge w:val="restart"/>
            <w:tcBorders>
              <w:top w:val="single" w:sz="12" w:space="0" w:color="auto"/>
              <w:left w:val="single" w:sz="4" w:space="0" w:color="auto"/>
              <w:bottom w:val="single" w:sz="4" w:space="0" w:color="auto"/>
              <w:right w:val="single" w:sz="4" w:space="0" w:color="auto"/>
            </w:tcBorders>
            <w:shd w:val="clear" w:color="auto" w:fill="auto"/>
            <w:vAlign w:val="bottom"/>
            <w:hideMark/>
          </w:tcPr>
          <w:p w14:paraId="0204F306" w14:textId="77777777" w:rsidR="00AA3A5F" w:rsidRPr="00F86256" w:rsidRDefault="00AA3A5F" w:rsidP="007A68D5">
            <w:pPr>
              <w:jc w:val="center"/>
              <w:rPr>
                <w:rFonts w:cs="Times New Roman"/>
                <w:b/>
                <w:bCs/>
                <w:sz w:val="20"/>
                <w:szCs w:val="20"/>
                <w:lang w:val="cs-CZ"/>
              </w:rPr>
            </w:pPr>
            <w:r w:rsidRPr="00F86256">
              <w:rPr>
                <w:rFonts w:cs="Times New Roman"/>
                <w:b/>
                <w:bCs/>
                <w:sz w:val="20"/>
                <w:szCs w:val="20"/>
                <w:lang w:val="cs-CZ"/>
              </w:rPr>
              <w:t>Pěstitelé zeleniny v ČR v systému IPZ evidovaní na SZIF</w:t>
            </w:r>
          </w:p>
        </w:tc>
        <w:tc>
          <w:tcPr>
            <w:tcW w:w="0" w:type="auto"/>
            <w:gridSpan w:val="4"/>
            <w:tcBorders>
              <w:top w:val="single" w:sz="12" w:space="0" w:color="auto"/>
              <w:left w:val="single" w:sz="4" w:space="0" w:color="auto"/>
              <w:bottom w:val="single" w:sz="4" w:space="0" w:color="auto"/>
              <w:right w:val="single" w:sz="12" w:space="0" w:color="auto"/>
            </w:tcBorders>
            <w:shd w:val="clear" w:color="auto" w:fill="auto"/>
            <w:noWrap/>
            <w:vAlign w:val="bottom"/>
            <w:hideMark/>
          </w:tcPr>
          <w:p w14:paraId="12EBCEC0" w14:textId="77777777" w:rsidR="00AA3A5F" w:rsidRPr="00F86256" w:rsidRDefault="00AA3A5F" w:rsidP="007A68D5">
            <w:pPr>
              <w:jc w:val="center"/>
              <w:rPr>
                <w:rFonts w:cs="Times New Roman"/>
                <w:b/>
                <w:bCs/>
                <w:sz w:val="20"/>
                <w:szCs w:val="20"/>
                <w:lang w:val="cs-CZ"/>
              </w:rPr>
            </w:pPr>
            <w:r w:rsidRPr="00F86256">
              <w:rPr>
                <w:rFonts w:cs="Times New Roman"/>
                <w:b/>
                <w:bCs/>
                <w:sz w:val="20"/>
                <w:szCs w:val="20"/>
                <w:lang w:val="cs-CZ"/>
              </w:rPr>
              <w:t>Žadatelé o ochranou známku IPZ evidovaní u ZUČM</w:t>
            </w:r>
          </w:p>
        </w:tc>
      </w:tr>
      <w:tr w:rsidR="00AA3A5F" w:rsidRPr="000703B9" w14:paraId="507BAA38" w14:textId="77777777" w:rsidTr="007A68D5">
        <w:trPr>
          <w:trHeight w:val="450"/>
        </w:trPr>
        <w:tc>
          <w:tcPr>
            <w:tcW w:w="0" w:type="auto"/>
            <w:vMerge/>
            <w:tcBorders>
              <w:top w:val="double" w:sz="6" w:space="0" w:color="auto"/>
              <w:left w:val="single" w:sz="12" w:space="0" w:color="auto"/>
              <w:bottom w:val="single" w:sz="4" w:space="0" w:color="auto"/>
              <w:right w:val="single" w:sz="4" w:space="0" w:color="auto"/>
            </w:tcBorders>
            <w:vAlign w:val="center"/>
            <w:hideMark/>
          </w:tcPr>
          <w:p w14:paraId="477F33EA" w14:textId="77777777" w:rsidR="00AA3A5F" w:rsidRPr="00F86256" w:rsidRDefault="00AA3A5F" w:rsidP="007A68D5">
            <w:pPr>
              <w:jc w:val="left"/>
              <w:rPr>
                <w:rFonts w:cs="Times New Roman"/>
                <w:sz w:val="20"/>
                <w:szCs w:val="20"/>
                <w:lang w:val="cs-CZ"/>
              </w:rPr>
            </w:pPr>
          </w:p>
        </w:tc>
        <w:tc>
          <w:tcPr>
            <w:tcW w:w="0" w:type="auto"/>
            <w:gridSpan w:val="2"/>
            <w:vMerge/>
            <w:tcBorders>
              <w:top w:val="double" w:sz="6" w:space="0" w:color="auto"/>
              <w:left w:val="single" w:sz="4" w:space="0" w:color="auto"/>
              <w:bottom w:val="single" w:sz="4" w:space="0" w:color="auto"/>
              <w:right w:val="single" w:sz="4" w:space="0" w:color="auto"/>
            </w:tcBorders>
            <w:vAlign w:val="center"/>
            <w:hideMark/>
          </w:tcPr>
          <w:p w14:paraId="75F776CA" w14:textId="77777777" w:rsidR="00AA3A5F" w:rsidRPr="00F86256" w:rsidRDefault="00AA3A5F" w:rsidP="007A68D5">
            <w:pPr>
              <w:jc w:val="left"/>
              <w:rPr>
                <w:rFonts w:cs="Times New Roman"/>
                <w:b/>
                <w:bCs/>
                <w:sz w:val="20"/>
                <w:szCs w:val="20"/>
                <w:lang w:val="cs-CZ"/>
              </w:rPr>
            </w:pP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31951AF8" w14:textId="77777777" w:rsidR="00AA3A5F" w:rsidRPr="00F86256" w:rsidRDefault="00AA3A5F" w:rsidP="007A68D5">
            <w:pPr>
              <w:jc w:val="center"/>
              <w:rPr>
                <w:rFonts w:cs="Times New Roman"/>
                <w:b/>
                <w:bCs/>
                <w:sz w:val="20"/>
                <w:szCs w:val="20"/>
                <w:lang w:val="cs-CZ"/>
              </w:rPr>
            </w:pPr>
            <w:r w:rsidRPr="00F86256">
              <w:rPr>
                <w:rFonts w:cs="Times New Roman"/>
                <w:b/>
                <w:bCs/>
                <w:sz w:val="20"/>
                <w:szCs w:val="20"/>
                <w:lang w:val="cs-CZ"/>
              </w:rPr>
              <w:t>Držitelé ochranné známky IPZ</w:t>
            </w:r>
          </w:p>
        </w:tc>
        <w:tc>
          <w:tcPr>
            <w:tcW w:w="0" w:type="auto"/>
            <w:gridSpan w:val="2"/>
            <w:tcBorders>
              <w:top w:val="single" w:sz="4" w:space="0" w:color="auto"/>
              <w:left w:val="nil"/>
              <w:bottom w:val="single" w:sz="4" w:space="0" w:color="auto"/>
              <w:right w:val="single" w:sz="12" w:space="0" w:color="auto"/>
            </w:tcBorders>
            <w:shd w:val="clear" w:color="auto" w:fill="auto"/>
            <w:vAlign w:val="bottom"/>
            <w:hideMark/>
          </w:tcPr>
          <w:p w14:paraId="40387209" w14:textId="77777777" w:rsidR="00AA3A5F" w:rsidRPr="00F86256" w:rsidRDefault="00AA3A5F" w:rsidP="007A68D5">
            <w:pPr>
              <w:jc w:val="center"/>
              <w:rPr>
                <w:rFonts w:cs="Times New Roman"/>
                <w:b/>
                <w:bCs/>
                <w:sz w:val="20"/>
                <w:szCs w:val="20"/>
                <w:lang w:val="cs-CZ"/>
              </w:rPr>
            </w:pPr>
            <w:r w:rsidRPr="00F86256">
              <w:rPr>
                <w:rFonts w:cs="Times New Roman"/>
                <w:b/>
                <w:bCs/>
                <w:sz w:val="20"/>
                <w:szCs w:val="20"/>
                <w:lang w:val="cs-CZ"/>
              </w:rPr>
              <w:t>Pěstitelé v přechod. období (čekatelé)</w:t>
            </w:r>
          </w:p>
        </w:tc>
      </w:tr>
      <w:tr w:rsidR="00AA3A5F" w:rsidRPr="00F86256" w14:paraId="65C2F4F4" w14:textId="77777777" w:rsidTr="007A68D5">
        <w:trPr>
          <w:trHeight w:val="600"/>
        </w:trPr>
        <w:tc>
          <w:tcPr>
            <w:tcW w:w="0" w:type="auto"/>
            <w:tcBorders>
              <w:top w:val="nil"/>
              <w:left w:val="single" w:sz="12" w:space="0" w:color="auto"/>
              <w:bottom w:val="single" w:sz="4" w:space="0" w:color="auto"/>
              <w:right w:val="single" w:sz="4" w:space="0" w:color="auto"/>
            </w:tcBorders>
            <w:shd w:val="clear" w:color="auto" w:fill="auto"/>
            <w:noWrap/>
            <w:vAlign w:val="bottom"/>
            <w:hideMark/>
          </w:tcPr>
          <w:p w14:paraId="333E1636" w14:textId="77777777" w:rsidR="00AA3A5F" w:rsidRPr="00F86256" w:rsidRDefault="00AA3A5F" w:rsidP="007A68D5">
            <w:pPr>
              <w:jc w:val="left"/>
              <w:rPr>
                <w:rFonts w:cs="Times New Roman"/>
                <w:sz w:val="20"/>
                <w:szCs w:val="20"/>
                <w:lang w:val="cs-CZ"/>
              </w:rPr>
            </w:pPr>
            <w:r w:rsidRPr="00F86256">
              <w:rPr>
                <w:rFonts w:cs="Times New Roman"/>
                <w:sz w:val="20"/>
                <w:szCs w:val="20"/>
                <w:lang w:val="cs-CZ"/>
              </w:rPr>
              <w:t> </w:t>
            </w:r>
          </w:p>
        </w:tc>
        <w:tc>
          <w:tcPr>
            <w:tcW w:w="0" w:type="auto"/>
            <w:tcBorders>
              <w:top w:val="nil"/>
              <w:left w:val="nil"/>
              <w:bottom w:val="single" w:sz="4" w:space="0" w:color="auto"/>
              <w:right w:val="single" w:sz="4" w:space="0" w:color="auto"/>
            </w:tcBorders>
            <w:shd w:val="clear" w:color="auto" w:fill="auto"/>
            <w:vAlign w:val="bottom"/>
            <w:hideMark/>
          </w:tcPr>
          <w:p w14:paraId="6FE6F6B9" w14:textId="77777777" w:rsidR="00AA3A5F" w:rsidRPr="00F86256" w:rsidRDefault="00AA3A5F" w:rsidP="007A68D5">
            <w:pPr>
              <w:jc w:val="center"/>
              <w:rPr>
                <w:rFonts w:cs="Times New Roman"/>
                <w:b/>
                <w:bCs/>
                <w:sz w:val="20"/>
                <w:szCs w:val="20"/>
                <w:lang w:val="cs-CZ"/>
              </w:rPr>
            </w:pPr>
            <w:r w:rsidRPr="00F86256">
              <w:rPr>
                <w:rFonts w:cs="Times New Roman"/>
                <w:b/>
                <w:bCs/>
                <w:sz w:val="20"/>
                <w:szCs w:val="20"/>
                <w:lang w:val="cs-CZ"/>
              </w:rPr>
              <w:t>Počet pěstitelů</w:t>
            </w:r>
          </w:p>
        </w:tc>
        <w:tc>
          <w:tcPr>
            <w:tcW w:w="0" w:type="auto"/>
            <w:tcBorders>
              <w:top w:val="nil"/>
              <w:left w:val="nil"/>
              <w:bottom w:val="single" w:sz="4" w:space="0" w:color="auto"/>
              <w:right w:val="single" w:sz="4" w:space="0" w:color="auto"/>
            </w:tcBorders>
            <w:shd w:val="clear" w:color="auto" w:fill="auto"/>
            <w:vAlign w:val="bottom"/>
            <w:hideMark/>
          </w:tcPr>
          <w:p w14:paraId="0A9400A2" w14:textId="77777777" w:rsidR="00AA3A5F" w:rsidRPr="00F86256" w:rsidRDefault="00AA3A5F" w:rsidP="007A68D5">
            <w:pPr>
              <w:jc w:val="center"/>
              <w:rPr>
                <w:rFonts w:cs="Times New Roman"/>
                <w:b/>
                <w:bCs/>
                <w:sz w:val="20"/>
                <w:szCs w:val="20"/>
                <w:lang w:val="cs-CZ"/>
              </w:rPr>
            </w:pPr>
            <w:r w:rsidRPr="00F86256">
              <w:rPr>
                <w:rFonts w:cs="Times New Roman"/>
                <w:b/>
                <w:bCs/>
                <w:sz w:val="20"/>
                <w:szCs w:val="20"/>
                <w:lang w:val="cs-CZ"/>
              </w:rPr>
              <w:t>Plocha v ha</w:t>
            </w:r>
          </w:p>
        </w:tc>
        <w:tc>
          <w:tcPr>
            <w:tcW w:w="0" w:type="auto"/>
            <w:tcBorders>
              <w:top w:val="nil"/>
              <w:left w:val="nil"/>
              <w:bottom w:val="single" w:sz="4" w:space="0" w:color="auto"/>
              <w:right w:val="single" w:sz="4" w:space="0" w:color="auto"/>
            </w:tcBorders>
            <w:shd w:val="clear" w:color="auto" w:fill="auto"/>
            <w:vAlign w:val="bottom"/>
            <w:hideMark/>
          </w:tcPr>
          <w:p w14:paraId="6AE91034" w14:textId="77777777" w:rsidR="00AA3A5F" w:rsidRPr="00F86256" w:rsidRDefault="00AA3A5F" w:rsidP="007A68D5">
            <w:pPr>
              <w:jc w:val="center"/>
              <w:rPr>
                <w:rFonts w:cs="Times New Roman"/>
                <w:b/>
                <w:bCs/>
                <w:sz w:val="20"/>
                <w:szCs w:val="20"/>
                <w:lang w:val="cs-CZ"/>
              </w:rPr>
            </w:pPr>
            <w:r w:rsidRPr="00F86256">
              <w:rPr>
                <w:rFonts w:cs="Times New Roman"/>
                <w:b/>
                <w:bCs/>
                <w:sz w:val="20"/>
                <w:szCs w:val="20"/>
                <w:lang w:val="cs-CZ"/>
              </w:rPr>
              <w:t>Počet pěstitelů</w:t>
            </w:r>
          </w:p>
        </w:tc>
        <w:tc>
          <w:tcPr>
            <w:tcW w:w="0" w:type="auto"/>
            <w:tcBorders>
              <w:top w:val="nil"/>
              <w:left w:val="nil"/>
              <w:bottom w:val="single" w:sz="4" w:space="0" w:color="auto"/>
              <w:right w:val="single" w:sz="4" w:space="0" w:color="auto"/>
            </w:tcBorders>
            <w:shd w:val="clear" w:color="auto" w:fill="auto"/>
            <w:vAlign w:val="bottom"/>
            <w:hideMark/>
          </w:tcPr>
          <w:p w14:paraId="0A1F946E" w14:textId="77777777" w:rsidR="00AA3A5F" w:rsidRPr="00F86256" w:rsidRDefault="00AA3A5F" w:rsidP="007A68D5">
            <w:pPr>
              <w:jc w:val="center"/>
              <w:rPr>
                <w:rFonts w:cs="Times New Roman"/>
                <w:b/>
                <w:bCs/>
                <w:sz w:val="20"/>
                <w:szCs w:val="20"/>
                <w:lang w:val="cs-CZ"/>
              </w:rPr>
            </w:pPr>
            <w:r w:rsidRPr="00F86256">
              <w:rPr>
                <w:rFonts w:cs="Times New Roman"/>
                <w:b/>
                <w:bCs/>
                <w:sz w:val="20"/>
                <w:szCs w:val="20"/>
                <w:lang w:val="cs-CZ"/>
              </w:rPr>
              <w:t>Plocha v ha</w:t>
            </w:r>
          </w:p>
        </w:tc>
        <w:tc>
          <w:tcPr>
            <w:tcW w:w="0" w:type="auto"/>
            <w:tcBorders>
              <w:top w:val="nil"/>
              <w:left w:val="nil"/>
              <w:bottom w:val="single" w:sz="4" w:space="0" w:color="auto"/>
              <w:right w:val="single" w:sz="4" w:space="0" w:color="auto"/>
            </w:tcBorders>
            <w:shd w:val="clear" w:color="auto" w:fill="auto"/>
            <w:vAlign w:val="bottom"/>
            <w:hideMark/>
          </w:tcPr>
          <w:p w14:paraId="788DE50C" w14:textId="77777777" w:rsidR="00AA3A5F" w:rsidRPr="00F86256" w:rsidRDefault="00AA3A5F" w:rsidP="007A68D5">
            <w:pPr>
              <w:jc w:val="center"/>
              <w:rPr>
                <w:rFonts w:cs="Times New Roman"/>
                <w:b/>
                <w:bCs/>
                <w:sz w:val="20"/>
                <w:szCs w:val="20"/>
                <w:lang w:val="cs-CZ"/>
              </w:rPr>
            </w:pPr>
            <w:r w:rsidRPr="00F86256">
              <w:rPr>
                <w:rFonts w:cs="Times New Roman"/>
                <w:b/>
                <w:bCs/>
                <w:sz w:val="20"/>
                <w:szCs w:val="20"/>
                <w:lang w:val="cs-CZ"/>
              </w:rPr>
              <w:t>Počet pěstitelů</w:t>
            </w:r>
          </w:p>
        </w:tc>
        <w:tc>
          <w:tcPr>
            <w:tcW w:w="0" w:type="auto"/>
            <w:tcBorders>
              <w:top w:val="nil"/>
              <w:left w:val="nil"/>
              <w:bottom w:val="single" w:sz="4" w:space="0" w:color="auto"/>
              <w:right w:val="single" w:sz="12" w:space="0" w:color="auto"/>
            </w:tcBorders>
            <w:shd w:val="clear" w:color="auto" w:fill="auto"/>
            <w:vAlign w:val="bottom"/>
            <w:hideMark/>
          </w:tcPr>
          <w:p w14:paraId="7698FA30" w14:textId="77777777" w:rsidR="00AA3A5F" w:rsidRPr="00F86256" w:rsidRDefault="00AA3A5F" w:rsidP="007A68D5">
            <w:pPr>
              <w:jc w:val="center"/>
              <w:rPr>
                <w:rFonts w:cs="Times New Roman"/>
                <w:b/>
                <w:bCs/>
                <w:sz w:val="20"/>
                <w:szCs w:val="20"/>
                <w:lang w:val="cs-CZ"/>
              </w:rPr>
            </w:pPr>
            <w:r w:rsidRPr="00F86256">
              <w:rPr>
                <w:rFonts w:cs="Times New Roman"/>
                <w:b/>
                <w:bCs/>
                <w:sz w:val="20"/>
                <w:szCs w:val="20"/>
                <w:lang w:val="cs-CZ"/>
              </w:rPr>
              <w:t>Plocha v ha</w:t>
            </w:r>
          </w:p>
        </w:tc>
      </w:tr>
      <w:tr w:rsidR="00AA3A5F" w:rsidRPr="00F86256" w14:paraId="2F988879" w14:textId="77777777" w:rsidTr="007A68D5">
        <w:trPr>
          <w:trHeight w:val="300"/>
        </w:trPr>
        <w:tc>
          <w:tcPr>
            <w:tcW w:w="0" w:type="auto"/>
            <w:tcBorders>
              <w:top w:val="nil"/>
              <w:left w:val="single" w:sz="12" w:space="0" w:color="auto"/>
              <w:bottom w:val="single" w:sz="4" w:space="0" w:color="auto"/>
              <w:right w:val="single" w:sz="4" w:space="0" w:color="auto"/>
            </w:tcBorders>
            <w:shd w:val="clear" w:color="auto" w:fill="auto"/>
            <w:noWrap/>
            <w:vAlign w:val="bottom"/>
            <w:hideMark/>
          </w:tcPr>
          <w:p w14:paraId="033C15AD"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2005</w:t>
            </w:r>
          </w:p>
        </w:tc>
        <w:tc>
          <w:tcPr>
            <w:tcW w:w="0" w:type="auto"/>
            <w:tcBorders>
              <w:top w:val="nil"/>
              <w:left w:val="nil"/>
              <w:bottom w:val="single" w:sz="4" w:space="0" w:color="auto"/>
              <w:right w:val="single" w:sz="4" w:space="0" w:color="auto"/>
            </w:tcBorders>
            <w:shd w:val="clear" w:color="auto" w:fill="auto"/>
            <w:noWrap/>
            <w:vAlign w:val="bottom"/>
            <w:hideMark/>
          </w:tcPr>
          <w:p w14:paraId="331849F1"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w:t>
            </w:r>
          </w:p>
        </w:tc>
        <w:tc>
          <w:tcPr>
            <w:tcW w:w="0" w:type="auto"/>
            <w:tcBorders>
              <w:top w:val="nil"/>
              <w:left w:val="nil"/>
              <w:bottom w:val="single" w:sz="4" w:space="0" w:color="auto"/>
              <w:right w:val="single" w:sz="4" w:space="0" w:color="auto"/>
            </w:tcBorders>
            <w:shd w:val="clear" w:color="auto" w:fill="auto"/>
            <w:noWrap/>
            <w:vAlign w:val="bottom"/>
            <w:hideMark/>
          </w:tcPr>
          <w:p w14:paraId="45D96FF4"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w:t>
            </w:r>
          </w:p>
        </w:tc>
        <w:tc>
          <w:tcPr>
            <w:tcW w:w="0" w:type="auto"/>
            <w:tcBorders>
              <w:top w:val="nil"/>
              <w:left w:val="nil"/>
              <w:bottom w:val="single" w:sz="4" w:space="0" w:color="auto"/>
              <w:right w:val="single" w:sz="4" w:space="0" w:color="auto"/>
            </w:tcBorders>
            <w:shd w:val="clear" w:color="auto" w:fill="auto"/>
            <w:noWrap/>
            <w:vAlign w:val="bottom"/>
            <w:hideMark/>
          </w:tcPr>
          <w:p w14:paraId="41A8C679"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w:t>
            </w:r>
          </w:p>
        </w:tc>
        <w:tc>
          <w:tcPr>
            <w:tcW w:w="0" w:type="auto"/>
            <w:tcBorders>
              <w:top w:val="nil"/>
              <w:left w:val="nil"/>
              <w:bottom w:val="single" w:sz="4" w:space="0" w:color="auto"/>
              <w:right w:val="single" w:sz="4" w:space="0" w:color="auto"/>
            </w:tcBorders>
            <w:shd w:val="clear" w:color="auto" w:fill="auto"/>
            <w:noWrap/>
            <w:vAlign w:val="bottom"/>
            <w:hideMark/>
          </w:tcPr>
          <w:p w14:paraId="02D2D9D7"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w:t>
            </w:r>
          </w:p>
        </w:tc>
        <w:tc>
          <w:tcPr>
            <w:tcW w:w="0" w:type="auto"/>
            <w:tcBorders>
              <w:top w:val="nil"/>
              <w:left w:val="nil"/>
              <w:bottom w:val="single" w:sz="4" w:space="0" w:color="auto"/>
              <w:right w:val="single" w:sz="4" w:space="0" w:color="auto"/>
            </w:tcBorders>
            <w:shd w:val="clear" w:color="auto" w:fill="auto"/>
            <w:noWrap/>
            <w:vAlign w:val="bottom"/>
            <w:hideMark/>
          </w:tcPr>
          <w:p w14:paraId="6DFBC453"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37</w:t>
            </w:r>
          </w:p>
        </w:tc>
        <w:tc>
          <w:tcPr>
            <w:tcW w:w="0" w:type="auto"/>
            <w:tcBorders>
              <w:top w:val="nil"/>
              <w:left w:val="nil"/>
              <w:bottom w:val="single" w:sz="4" w:space="0" w:color="auto"/>
              <w:right w:val="single" w:sz="12" w:space="0" w:color="auto"/>
            </w:tcBorders>
            <w:shd w:val="clear" w:color="auto" w:fill="auto"/>
            <w:noWrap/>
            <w:vAlign w:val="bottom"/>
            <w:hideMark/>
          </w:tcPr>
          <w:p w14:paraId="6EA79F56"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3 437</w:t>
            </w:r>
          </w:p>
        </w:tc>
      </w:tr>
      <w:tr w:rsidR="00AA3A5F" w:rsidRPr="00F86256" w14:paraId="038A852B" w14:textId="77777777" w:rsidTr="007A68D5">
        <w:trPr>
          <w:trHeight w:val="300"/>
        </w:trPr>
        <w:tc>
          <w:tcPr>
            <w:tcW w:w="0" w:type="auto"/>
            <w:tcBorders>
              <w:top w:val="nil"/>
              <w:left w:val="single" w:sz="12" w:space="0" w:color="auto"/>
              <w:bottom w:val="single" w:sz="4" w:space="0" w:color="auto"/>
              <w:right w:val="single" w:sz="4" w:space="0" w:color="auto"/>
            </w:tcBorders>
            <w:shd w:val="clear" w:color="auto" w:fill="auto"/>
            <w:noWrap/>
            <w:vAlign w:val="bottom"/>
            <w:hideMark/>
          </w:tcPr>
          <w:p w14:paraId="09B868E5"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2006</w:t>
            </w:r>
          </w:p>
        </w:tc>
        <w:tc>
          <w:tcPr>
            <w:tcW w:w="0" w:type="auto"/>
            <w:tcBorders>
              <w:top w:val="nil"/>
              <w:left w:val="nil"/>
              <w:bottom w:val="single" w:sz="4" w:space="0" w:color="auto"/>
              <w:right w:val="single" w:sz="4" w:space="0" w:color="auto"/>
            </w:tcBorders>
            <w:shd w:val="clear" w:color="auto" w:fill="auto"/>
            <w:noWrap/>
            <w:vAlign w:val="bottom"/>
            <w:hideMark/>
          </w:tcPr>
          <w:p w14:paraId="029CD1FE"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w:t>
            </w:r>
          </w:p>
        </w:tc>
        <w:tc>
          <w:tcPr>
            <w:tcW w:w="0" w:type="auto"/>
            <w:tcBorders>
              <w:top w:val="nil"/>
              <w:left w:val="nil"/>
              <w:bottom w:val="single" w:sz="4" w:space="0" w:color="auto"/>
              <w:right w:val="single" w:sz="4" w:space="0" w:color="auto"/>
            </w:tcBorders>
            <w:shd w:val="clear" w:color="auto" w:fill="auto"/>
            <w:noWrap/>
            <w:vAlign w:val="bottom"/>
            <w:hideMark/>
          </w:tcPr>
          <w:p w14:paraId="5530A49C"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w:t>
            </w:r>
          </w:p>
        </w:tc>
        <w:tc>
          <w:tcPr>
            <w:tcW w:w="0" w:type="auto"/>
            <w:tcBorders>
              <w:top w:val="nil"/>
              <w:left w:val="nil"/>
              <w:bottom w:val="single" w:sz="4" w:space="0" w:color="auto"/>
              <w:right w:val="single" w:sz="4" w:space="0" w:color="auto"/>
            </w:tcBorders>
            <w:shd w:val="clear" w:color="auto" w:fill="auto"/>
            <w:noWrap/>
            <w:vAlign w:val="bottom"/>
            <w:hideMark/>
          </w:tcPr>
          <w:p w14:paraId="4627DC60"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w:t>
            </w:r>
          </w:p>
        </w:tc>
        <w:tc>
          <w:tcPr>
            <w:tcW w:w="0" w:type="auto"/>
            <w:tcBorders>
              <w:top w:val="nil"/>
              <w:left w:val="nil"/>
              <w:bottom w:val="single" w:sz="4" w:space="0" w:color="auto"/>
              <w:right w:val="single" w:sz="4" w:space="0" w:color="auto"/>
            </w:tcBorders>
            <w:shd w:val="clear" w:color="auto" w:fill="auto"/>
            <w:noWrap/>
            <w:vAlign w:val="bottom"/>
            <w:hideMark/>
          </w:tcPr>
          <w:p w14:paraId="023E2858"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w:t>
            </w:r>
          </w:p>
        </w:tc>
        <w:tc>
          <w:tcPr>
            <w:tcW w:w="0" w:type="auto"/>
            <w:tcBorders>
              <w:top w:val="nil"/>
              <w:left w:val="nil"/>
              <w:bottom w:val="single" w:sz="4" w:space="0" w:color="auto"/>
              <w:right w:val="single" w:sz="4" w:space="0" w:color="auto"/>
            </w:tcBorders>
            <w:shd w:val="clear" w:color="auto" w:fill="auto"/>
            <w:noWrap/>
            <w:vAlign w:val="bottom"/>
            <w:hideMark/>
          </w:tcPr>
          <w:p w14:paraId="259E66CD"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57</w:t>
            </w:r>
          </w:p>
        </w:tc>
        <w:tc>
          <w:tcPr>
            <w:tcW w:w="0" w:type="auto"/>
            <w:tcBorders>
              <w:top w:val="nil"/>
              <w:left w:val="nil"/>
              <w:bottom w:val="single" w:sz="4" w:space="0" w:color="auto"/>
              <w:right w:val="single" w:sz="12" w:space="0" w:color="auto"/>
            </w:tcBorders>
            <w:shd w:val="clear" w:color="auto" w:fill="auto"/>
            <w:noWrap/>
            <w:vAlign w:val="bottom"/>
            <w:hideMark/>
          </w:tcPr>
          <w:p w14:paraId="48DA8E1B"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4 846</w:t>
            </w:r>
          </w:p>
        </w:tc>
      </w:tr>
      <w:tr w:rsidR="00AA3A5F" w:rsidRPr="00F86256" w14:paraId="33E0F84B" w14:textId="77777777" w:rsidTr="007A68D5">
        <w:trPr>
          <w:trHeight w:val="300"/>
        </w:trPr>
        <w:tc>
          <w:tcPr>
            <w:tcW w:w="0" w:type="auto"/>
            <w:tcBorders>
              <w:top w:val="nil"/>
              <w:left w:val="single" w:sz="12" w:space="0" w:color="auto"/>
              <w:bottom w:val="single" w:sz="4" w:space="0" w:color="auto"/>
              <w:right w:val="single" w:sz="4" w:space="0" w:color="auto"/>
            </w:tcBorders>
            <w:shd w:val="clear" w:color="auto" w:fill="auto"/>
            <w:noWrap/>
            <w:vAlign w:val="bottom"/>
            <w:hideMark/>
          </w:tcPr>
          <w:p w14:paraId="7423708D"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2007</w:t>
            </w:r>
          </w:p>
        </w:tc>
        <w:tc>
          <w:tcPr>
            <w:tcW w:w="0" w:type="auto"/>
            <w:tcBorders>
              <w:top w:val="nil"/>
              <w:left w:val="nil"/>
              <w:bottom w:val="single" w:sz="4" w:space="0" w:color="auto"/>
              <w:right w:val="single" w:sz="4" w:space="0" w:color="auto"/>
            </w:tcBorders>
            <w:shd w:val="clear" w:color="auto" w:fill="auto"/>
            <w:noWrap/>
            <w:vAlign w:val="bottom"/>
            <w:hideMark/>
          </w:tcPr>
          <w:p w14:paraId="0EA1B854"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63</w:t>
            </w:r>
          </w:p>
        </w:tc>
        <w:tc>
          <w:tcPr>
            <w:tcW w:w="0" w:type="auto"/>
            <w:tcBorders>
              <w:top w:val="nil"/>
              <w:left w:val="nil"/>
              <w:bottom w:val="single" w:sz="4" w:space="0" w:color="auto"/>
              <w:right w:val="single" w:sz="4" w:space="0" w:color="auto"/>
            </w:tcBorders>
            <w:shd w:val="clear" w:color="auto" w:fill="auto"/>
            <w:noWrap/>
            <w:vAlign w:val="bottom"/>
            <w:hideMark/>
          </w:tcPr>
          <w:p w14:paraId="6D291F97"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4 572</w:t>
            </w:r>
          </w:p>
        </w:tc>
        <w:tc>
          <w:tcPr>
            <w:tcW w:w="0" w:type="auto"/>
            <w:tcBorders>
              <w:top w:val="nil"/>
              <w:left w:val="nil"/>
              <w:bottom w:val="single" w:sz="4" w:space="0" w:color="auto"/>
              <w:right w:val="single" w:sz="4" w:space="0" w:color="auto"/>
            </w:tcBorders>
            <w:shd w:val="clear" w:color="auto" w:fill="auto"/>
            <w:noWrap/>
            <w:vAlign w:val="bottom"/>
            <w:hideMark/>
          </w:tcPr>
          <w:p w14:paraId="5DADE315"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34</w:t>
            </w:r>
          </w:p>
        </w:tc>
        <w:tc>
          <w:tcPr>
            <w:tcW w:w="0" w:type="auto"/>
            <w:tcBorders>
              <w:top w:val="nil"/>
              <w:left w:val="nil"/>
              <w:bottom w:val="single" w:sz="4" w:space="0" w:color="auto"/>
              <w:right w:val="single" w:sz="4" w:space="0" w:color="auto"/>
            </w:tcBorders>
            <w:shd w:val="clear" w:color="auto" w:fill="auto"/>
            <w:noWrap/>
            <w:vAlign w:val="bottom"/>
            <w:hideMark/>
          </w:tcPr>
          <w:p w14:paraId="72ED86F3"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4 158</w:t>
            </w:r>
          </w:p>
        </w:tc>
        <w:tc>
          <w:tcPr>
            <w:tcW w:w="0" w:type="auto"/>
            <w:tcBorders>
              <w:top w:val="nil"/>
              <w:left w:val="nil"/>
              <w:bottom w:val="single" w:sz="4" w:space="0" w:color="auto"/>
              <w:right w:val="single" w:sz="4" w:space="0" w:color="auto"/>
            </w:tcBorders>
            <w:shd w:val="clear" w:color="auto" w:fill="auto"/>
            <w:noWrap/>
            <w:vAlign w:val="bottom"/>
            <w:hideMark/>
          </w:tcPr>
          <w:p w14:paraId="1D5F0ED1"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35</w:t>
            </w:r>
          </w:p>
        </w:tc>
        <w:tc>
          <w:tcPr>
            <w:tcW w:w="0" w:type="auto"/>
            <w:tcBorders>
              <w:top w:val="nil"/>
              <w:left w:val="nil"/>
              <w:bottom w:val="single" w:sz="4" w:space="0" w:color="auto"/>
              <w:right w:val="single" w:sz="12" w:space="0" w:color="auto"/>
            </w:tcBorders>
            <w:shd w:val="clear" w:color="auto" w:fill="auto"/>
            <w:noWrap/>
            <w:vAlign w:val="bottom"/>
            <w:hideMark/>
          </w:tcPr>
          <w:p w14:paraId="62C82930"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1 119</w:t>
            </w:r>
          </w:p>
        </w:tc>
      </w:tr>
      <w:tr w:rsidR="00AA3A5F" w:rsidRPr="00F86256" w14:paraId="29C0D572" w14:textId="77777777" w:rsidTr="007A68D5">
        <w:trPr>
          <w:trHeight w:val="300"/>
        </w:trPr>
        <w:tc>
          <w:tcPr>
            <w:tcW w:w="0" w:type="auto"/>
            <w:tcBorders>
              <w:top w:val="nil"/>
              <w:left w:val="single" w:sz="12" w:space="0" w:color="auto"/>
              <w:bottom w:val="single" w:sz="4" w:space="0" w:color="auto"/>
              <w:right w:val="single" w:sz="4" w:space="0" w:color="auto"/>
            </w:tcBorders>
            <w:shd w:val="clear" w:color="auto" w:fill="auto"/>
            <w:noWrap/>
            <w:vAlign w:val="bottom"/>
            <w:hideMark/>
          </w:tcPr>
          <w:p w14:paraId="58A237A0"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2008</w:t>
            </w:r>
          </w:p>
        </w:tc>
        <w:tc>
          <w:tcPr>
            <w:tcW w:w="0" w:type="auto"/>
            <w:tcBorders>
              <w:top w:val="nil"/>
              <w:left w:val="nil"/>
              <w:bottom w:val="single" w:sz="4" w:space="0" w:color="auto"/>
              <w:right w:val="single" w:sz="4" w:space="0" w:color="auto"/>
            </w:tcBorders>
            <w:shd w:val="clear" w:color="auto" w:fill="auto"/>
            <w:noWrap/>
            <w:vAlign w:val="bottom"/>
            <w:hideMark/>
          </w:tcPr>
          <w:p w14:paraId="623CE1EB"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71</w:t>
            </w:r>
          </w:p>
        </w:tc>
        <w:tc>
          <w:tcPr>
            <w:tcW w:w="0" w:type="auto"/>
            <w:tcBorders>
              <w:top w:val="nil"/>
              <w:left w:val="nil"/>
              <w:bottom w:val="single" w:sz="4" w:space="0" w:color="auto"/>
              <w:right w:val="single" w:sz="4" w:space="0" w:color="auto"/>
            </w:tcBorders>
            <w:shd w:val="clear" w:color="auto" w:fill="auto"/>
            <w:noWrap/>
            <w:vAlign w:val="bottom"/>
            <w:hideMark/>
          </w:tcPr>
          <w:p w14:paraId="54B3EAAF"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4 487</w:t>
            </w:r>
          </w:p>
        </w:tc>
        <w:tc>
          <w:tcPr>
            <w:tcW w:w="0" w:type="auto"/>
            <w:tcBorders>
              <w:top w:val="nil"/>
              <w:left w:val="nil"/>
              <w:bottom w:val="single" w:sz="4" w:space="0" w:color="auto"/>
              <w:right w:val="single" w:sz="4" w:space="0" w:color="auto"/>
            </w:tcBorders>
            <w:shd w:val="clear" w:color="auto" w:fill="auto"/>
            <w:noWrap/>
            <w:vAlign w:val="bottom"/>
            <w:hideMark/>
          </w:tcPr>
          <w:p w14:paraId="153F0E26"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30</w:t>
            </w:r>
          </w:p>
        </w:tc>
        <w:tc>
          <w:tcPr>
            <w:tcW w:w="0" w:type="auto"/>
            <w:tcBorders>
              <w:top w:val="nil"/>
              <w:left w:val="nil"/>
              <w:bottom w:val="single" w:sz="4" w:space="0" w:color="auto"/>
              <w:right w:val="single" w:sz="4" w:space="0" w:color="auto"/>
            </w:tcBorders>
            <w:shd w:val="clear" w:color="auto" w:fill="auto"/>
            <w:noWrap/>
            <w:vAlign w:val="bottom"/>
            <w:hideMark/>
          </w:tcPr>
          <w:p w14:paraId="2F0E81BA"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3 332</w:t>
            </w:r>
          </w:p>
        </w:tc>
        <w:tc>
          <w:tcPr>
            <w:tcW w:w="0" w:type="auto"/>
            <w:tcBorders>
              <w:top w:val="nil"/>
              <w:left w:val="nil"/>
              <w:bottom w:val="single" w:sz="4" w:space="0" w:color="auto"/>
              <w:right w:val="single" w:sz="4" w:space="0" w:color="auto"/>
            </w:tcBorders>
            <w:shd w:val="clear" w:color="auto" w:fill="auto"/>
            <w:noWrap/>
            <w:vAlign w:val="bottom"/>
            <w:hideMark/>
          </w:tcPr>
          <w:p w14:paraId="5A937FB4"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24</w:t>
            </w:r>
          </w:p>
        </w:tc>
        <w:tc>
          <w:tcPr>
            <w:tcW w:w="0" w:type="auto"/>
            <w:tcBorders>
              <w:top w:val="nil"/>
              <w:left w:val="nil"/>
              <w:bottom w:val="single" w:sz="4" w:space="0" w:color="auto"/>
              <w:right w:val="single" w:sz="12" w:space="0" w:color="auto"/>
            </w:tcBorders>
            <w:shd w:val="clear" w:color="auto" w:fill="auto"/>
            <w:noWrap/>
            <w:vAlign w:val="bottom"/>
            <w:hideMark/>
          </w:tcPr>
          <w:p w14:paraId="67971300"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951</w:t>
            </w:r>
          </w:p>
        </w:tc>
      </w:tr>
      <w:tr w:rsidR="00AA3A5F" w:rsidRPr="00F86256" w14:paraId="192430E9" w14:textId="77777777" w:rsidTr="007A68D5">
        <w:trPr>
          <w:trHeight w:val="300"/>
        </w:trPr>
        <w:tc>
          <w:tcPr>
            <w:tcW w:w="0" w:type="auto"/>
            <w:tcBorders>
              <w:top w:val="nil"/>
              <w:left w:val="single" w:sz="12" w:space="0" w:color="auto"/>
              <w:bottom w:val="single" w:sz="4" w:space="0" w:color="auto"/>
              <w:right w:val="single" w:sz="4" w:space="0" w:color="auto"/>
            </w:tcBorders>
            <w:shd w:val="clear" w:color="auto" w:fill="auto"/>
            <w:noWrap/>
            <w:vAlign w:val="bottom"/>
            <w:hideMark/>
          </w:tcPr>
          <w:p w14:paraId="65C94636"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2009</w:t>
            </w:r>
          </w:p>
        </w:tc>
        <w:tc>
          <w:tcPr>
            <w:tcW w:w="0" w:type="auto"/>
            <w:tcBorders>
              <w:top w:val="nil"/>
              <w:left w:val="nil"/>
              <w:bottom w:val="single" w:sz="4" w:space="0" w:color="auto"/>
              <w:right w:val="single" w:sz="4" w:space="0" w:color="auto"/>
            </w:tcBorders>
            <w:shd w:val="clear" w:color="auto" w:fill="auto"/>
            <w:noWrap/>
            <w:vAlign w:val="bottom"/>
            <w:hideMark/>
          </w:tcPr>
          <w:p w14:paraId="7597709D"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80</w:t>
            </w:r>
          </w:p>
        </w:tc>
        <w:tc>
          <w:tcPr>
            <w:tcW w:w="0" w:type="auto"/>
            <w:tcBorders>
              <w:top w:val="nil"/>
              <w:left w:val="nil"/>
              <w:bottom w:val="single" w:sz="4" w:space="0" w:color="auto"/>
              <w:right w:val="single" w:sz="4" w:space="0" w:color="auto"/>
            </w:tcBorders>
            <w:shd w:val="clear" w:color="auto" w:fill="auto"/>
            <w:noWrap/>
            <w:vAlign w:val="bottom"/>
            <w:hideMark/>
          </w:tcPr>
          <w:p w14:paraId="4DC81F8F"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4 920</w:t>
            </w:r>
          </w:p>
        </w:tc>
        <w:tc>
          <w:tcPr>
            <w:tcW w:w="0" w:type="auto"/>
            <w:tcBorders>
              <w:top w:val="nil"/>
              <w:left w:val="nil"/>
              <w:bottom w:val="single" w:sz="4" w:space="0" w:color="auto"/>
              <w:right w:val="single" w:sz="4" w:space="0" w:color="auto"/>
            </w:tcBorders>
            <w:shd w:val="clear" w:color="auto" w:fill="auto"/>
            <w:noWrap/>
            <w:vAlign w:val="bottom"/>
            <w:hideMark/>
          </w:tcPr>
          <w:p w14:paraId="116F99C7"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50</w:t>
            </w:r>
          </w:p>
        </w:tc>
        <w:tc>
          <w:tcPr>
            <w:tcW w:w="0" w:type="auto"/>
            <w:tcBorders>
              <w:top w:val="nil"/>
              <w:left w:val="nil"/>
              <w:bottom w:val="single" w:sz="4" w:space="0" w:color="auto"/>
              <w:right w:val="single" w:sz="4" w:space="0" w:color="auto"/>
            </w:tcBorders>
            <w:shd w:val="clear" w:color="auto" w:fill="auto"/>
            <w:noWrap/>
            <w:vAlign w:val="bottom"/>
            <w:hideMark/>
          </w:tcPr>
          <w:p w14:paraId="016B1F32"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3 934</w:t>
            </w:r>
          </w:p>
        </w:tc>
        <w:tc>
          <w:tcPr>
            <w:tcW w:w="0" w:type="auto"/>
            <w:tcBorders>
              <w:top w:val="nil"/>
              <w:left w:val="nil"/>
              <w:bottom w:val="single" w:sz="4" w:space="0" w:color="auto"/>
              <w:right w:val="single" w:sz="4" w:space="0" w:color="auto"/>
            </w:tcBorders>
            <w:shd w:val="clear" w:color="auto" w:fill="auto"/>
            <w:noWrap/>
            <w:vAlign w:val="bottom"/>
            <w:hideMark/>
          </w:tcPr>
          <w:p w14:paraId="0598619D"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9</w:t>
            </w:r>
          </w:p>
        </w:tc>
        <w:tc>
          <w:tcPr>
            <w:tcW w:w="0" w:type="auto"/>
            <w:tcBorders>
              <w:top w:val="nil"/>
              <w:left w:val="nil"/>
              <w:bottom w:val="single" w:sz="4" w:space="0" w:color="auto"/>
              <w:right w:val="single" w:sz="12" w:space="0" w:color="auto"/>
            </w:tcBorders>
            <w:shd w:val="clear" w:color="auto" w:fill="auto"/>
            <w:noWrap/>
            <w:vAlign w:val="bottom"/>
            <w:hideMark/>
          </w:tcPr>
          <w:p w14:paraId="41E56A1A"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380</w:t>
            </w:r>
          </w:p>
        </w:tc>
      </w:tr>
      <w:tr w:rsidR="00AA3A5F" w:rsidRPr="00F86256" w14:paraId="70F6400E" w14:textId="77777777" w:rsidTr="007A68D5">
        <w:trPr>
          <w:trHeight w:val="300"/>
        </w:trPr>
        <w:tc>
          <w:tcPr>
            <w:tcW w:w="0" w:type="auto"/>
            <w:tcBorders>
              <w:top w:val="nil"/>
              <w:left w:val="single" w:sz="12" w:space="0" w:color="auto"/>
              <w:bottom w:val="single" w:sz="4" w:space="0" w:color="auto"/>
              <w:right w:val="single" w:sz="4" w:space="0" w:color="auto"/>
            </w:tcBorders>
            <w:shd w:val="clear" w:color="auto" w:fill="auto"/>
            <w:noWrap/>
            <w:vAlign w:val="bottom"/>
            <w:hideMark/>
          </w:tcPr>
          <w:p w14:paraId="1C751D7C"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2010</w:t>
            </w:r>
          </w:p>
        </w:tc>
        <w:tc>
          <w:tcPr>
            <w:tcW w:w="0" w:type="auto"/>
            <w:tcBorders>
              <w:top w:val="nil"/>
              <w:left w:val="nil"/>
              <w:bottom w:val="single" w:sz="4" w:space="0" w:color="auto"/>
              <w:right w:val="single" w:sz="4" w:space="0" w:color="auto"/>
            </w:tcBorders>
            <w:shd w:val="clear" w:color="auto" w:fill="auto"/>
            <w:noWrap/>
            <w:vAlign w:val="bottom"/>
            <w:hideMark/>
          </w:tcPr>
          <w:p w14:paraId="53F8D26C"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87</w:t>
            </w:r>
          </w:p>
        </w:tc>
        <w:tc>
          <w:tcPr>
            <w:tcW w:w="0" w:type="auto"/>
            <w:tcBorders>
              <w:top w:val="nil"/>
              <w:left w:val="nil"/>
              <w:bottom w:val="single" w:sz="4" w:space="0" w:color="auto"/>
              <w:right w:val="single" w:sz="4" w:space="0" w:color="auto"/>
            </w:tcBorders>
            <w:shd w:val="clear" w:color="auto" w:fill="auto"/>
            <w:noWrap/>
            <w:vAlign w:val="bottom"/>
            <w:hideMark/>
          </w:tcPr>
          <w:p w14:paraId="0BAD51CE"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5 360</w:t>
            </w:r>
          </w:p>
        </w:tc>
        <w:tc>
          <w:tcPr>
            <w:tcW w:w="0" w:type="auto"/>
            <w:tcBorders>
              <w:top w:val="nil"/>
              <w:left w:val="nil"/>
              <w:bottom w:val="single" w:sz="4" w:space="0" w:color="auto"/>
              <w:right w:val="single" w:sz="4" w:space="0" w:color="auto"/>
            </w:tcBorders>
            <w:shd w:val="clear" w:color="auto" w:fill="auto"/>
            <w:noWrap/>
            <w:vAlign w:val="bottom"/>
            <w:hideMark/>
          </w:tcPr>
          <w:p w14:paraId="1327F3C7"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50</w:t>
            </w:r>
          </w:p>
        </w:tc>
        <w:tc>
          <w:tcPr>
            <w:tcW w:w="0" w:type="auto"/>
            <w:tcBorders>
              <w:top w:val="nil"/>
              <w:left w:val="nil"/>
              <w:bottom w:val="single" w:sz="4" w:space="0" w:color="auto"/>
              <w:right w:val="single" w:sz="4" w:space="0" w:color="auto"/>
            </w:tcBorders>
            <w:shd w:val="clear" w:color="auto" w:fill="auto"/>
            <w:noWrap/>
            <w:vAlign w:val="bottom"/>
            <w:hideMark/>
          </w:tcPr>
          <w:p w14:paraId="7EBFC5A6"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3 819</w:t>
            </w:r>
          </w:p>
        </w:tc>
        <w:tc>
          <w:tcPr>
            <w:tcW w:w="0" w:type="auto"/>
            <w:tcBorders>
              <w:top w:val="nil"/>
              <w:left w:val="nil"/>
              <w:bottom w:val="single" w:sz="4" w:space="0" w:color="auto"/>
              <w:right w:val="single" w:sz="4" w:space="0" w:color="auto"/>
            </w:tcBorders>
            <w:shd w:val="clear" w:color="auto" w:fill="auto"/>
            <w:noWrap/>
            <w:vAlign w:val="bottom"/>
            <w:hideMark/>
          </w:tcPr>
          <w:p w14:paraId="1E0E5F87"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14</w:t>
            </w:r>
          </w:p>
        </w:tc>
        <w:tc>
          <w:tcPr>
            <w:tcW w:w="0" w:type="auto"/>
            <w:tcBorders>
              <w:top w:val="nil"/>
              <w:left w:val="nil"/>
              <w:bottom w:val="single" w:sz="4" w:space="0" w:color="auto"/>
              <w:right w:val="single" w:sz="12" w:space="0" w:color="auto"/>
            </w:tcBorders>
            <w:shd w:val="clear" w:color="auto" w:fill="auto"/>
            <w:noWrap/>
            <w:vAlign w:val="bottom"/>
            <w:hideMark/>
          </w:tcPr>
          <w:p w14:paraId="28737903"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718</w:t>
            </w:r>
          </w:p>
        </w:tc>
      </w:tr>
      <w:tr w:rsidR="00AA3A5F" w:rsidRPr="00F86256" w14:paraId="184E3A30" w14:textId="77777777" w:rsidTr="007A68D5">
        <w:trPr>
          <w:trHeight w:val="300"/>
        </w:trPr>
        <w:tc>
          <w:tcPr>
            <w:tcW w:w="0" w:type="auto"/>
            <w:tcBorders>
              <w:top w:val="nil"/>
              <w:left w:val="single" w:sz="12" w:space="0" w:color="auto"/>
              <w:bottom w:val="single" w:sz="4" w:space="0" w:color="auto"/>
              <w:right w:val="single" w:sz="4" w:space="0" w:color="auto"/>
            </w:tcBorders>
            <w:shd w:val="clear" w:color="auto" w:fill="auto"/>
            <w:noWrap/>
            <w:vAlign w:val="bottom"/>
            <w:hideMark/>
          </w:tcPr>
          <w:p w14:paraId="32043C5E"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2011</w:t>
            </w:r>
          </w:p>
        </w:tc>
        <w:tc>
          <w:tcPr>
            <w:tcW w:w="0" w:type="auto"/>
            <w:tcBorders>
              <w:top w:val="nil"/>
              <w:left w:val="nil"/>
              <w:bottom w:val="single" w:sz="4" w:space="0" w:color="auto"/>
              <w:right w:val="single" w:sz="4" w:space="0" w:color="auto"/>
            </w:tcBorders>
            <w:shd w:val="clear" w:color="auto" w:fill="auto"/>
            <w:noWrap/>
            <w:vAlign w:val="bottom"/>
            <w:hideMark/>
          </w:tcPr>
          <w:p w14:paraId="678CAF8C"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93</w:t>
            </w:r>
          </w:p>
        </w:tc>
        <w:tc>
          <w:tcPr>
            <w:tcW w:w="0" w:type="auto"/>
            <w:tcBorders>
              <w:top w:val="nil"/>
              <w:left w:val="nil"/>
              <w:bottom w:val="single" w:sz="4" w:space="0" w:color="auto"/>
              <w:right w:val="single" w:sz="4" w:space="0" w:color="auto"/>
            </w:tcBorders>
            <w:shd w:val="clear" w:color="auto" w:fill="auto"/>
            <w:noWrap/>
            <w:vAlign w:val="bottom"/>
            <w:hideMark/>
          </w:tcPr>
          <w:p w14:paraId="1B37800D"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6 092</w:t>
            </w:r>
          </w:p>
        </w:tc>
        <w:tc>
          <w:tcPr>
            <w:tcW w:w="0" w:type="auto"/>
            <w:tcBorders>
              <w:top w:val="nil"/>
              <w:left w:val="nil"/>
              <w:bottom w:val="single" w:sz="4" w:space="0" w:color="auto"/>
              <w:right w:val="single" w:sz="4" w:space="0" w:color="auto"/>
            </w:tcBorders>
            <w:shd w:val="clear" w:color="auto" w:fill="auto"/>
            <w:noWrap/>
            <w:vAlign w:val="bottom"/>
            <w:hideMark/>
          </w:tcPr>
          <w:p w14:paraId="3B3845AB"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54</w:t>
            </w:r>
          </w:p>
        </w:tc>
        <w:tc>
          <w:tcPr>
            <w:tcW w:w="0" w:type="auto"/>
            <w:tcBorders>
              <w:top w:val="nil"/>
              <w:left w:val="nil"/>
              <w:bottom w:val="single" w:sz="4" w:space="0" w:color="auto"/>
              <w:right w:val="single" w:sz="4" w:space="0" w:color="auto"/>
            </w:tcBorders>
            <w:shd w:val="clear" w:color="auto" w:fill="auto"/>
            <w:noWrap/>
            <w:vAlign w:val="bottom"/>
            <w:hideMark/>
          </w:tcPr>
          <w:p w14:paraId="78D58DE1"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4 826</w:t>
            </w:r>
          </w:p>
        </w:tc>
        <w:tc>
          <w:tcPr>
            <w:tcW w:w="0" w:type="auto"/>
            <w:tcBorders>
              <w:top w:val="nil"/>
              <w:left w:val="nil"/>
              <w:bottom w:val="single" w:sz="4" w:space="0" w:color="auto"/>
              <w:right w:val="single" w:sz="4" w:space="0" w:color="auto"/>
            </w:tcBorders>
            <w:shd w:val="clear" w:color="auto" w:fill="auto"/>
            <w:noWrap/>
            <w:vAlign w:val="bottom"/>
            <w:hideMark/>
          </w:tcPr>
          <w:p w14:paraId="33B0EBFF"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13</w:t>
            </w:r>
          </w:p>
        </w:tc>
        <w:tc>
          <w:tcPr>
            <w:tcW w:w="0" w:type="auto"/>
            <w:tcBorders>
              <w:top w:val="nil"/>
              <w:left w:val="nil"/>
              <w:bottom w:val="single" w:sz="4" w:space="0" w:color="auto"/>
              <w:right w:val="single" w:sz="12" w:space="0" w:color="auto"/>
            </w:tcBorders>
            <w:shd w:val="clear" w:color="auto" w:fill="auto"/>
            <w:noWrap/>
            <w:vAlign w:val="bottom"/>
            <w:hideMark/>
          </w:tcPr>
          <w:p w14:paraId="255A67D6"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397</w:t>
            </w:r>
          </w:p>
        </w:tc>
      </w:tr>
      <w:tr w:rsidR="00AA3A5F" w:rsidRPr="00F86256" w14:paraId="5F89F9FB" w14:textId="77777777" w:rsidTr="007A68D5">
        <w:trPr>
          <w:trHeight w:val="300"/>
        </w:trPr>
        <w:tc>
          <w:tcPr>
            <w:tcW w:w="0" w:type="auto"/>
            <w:tcBorders>
              <w:top w:val="nil"/>
              <w:left w:val="single" w:sz="12" w:space="0" w:color="auto"/>
              <w:bottom w:val="single" w:sz="4" w:space="0" w:color="auto"/>
              <w:right w:val="single" w:sz="4" w:space="0" w:color="auto"/>
            </w:tcBorders>
            <w:shd w:val="clear" w:color="auto" w:fill="auto"/>
            <w:noWrap/>
            <w:vAlign w:val="bottom"/>
            <w:hideMark/>
          </w:tcPr>
          <w:p w14:paraId="0C1AF4D2"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2012</w:t>
            </w:r>
          </w:p>
        </w:tc>
        <w:tc>
          <w:tcPr>
            <w:tcW w:w="0" w:type="auto"/>
            <w:tcBorders>
              <w:top w:val="nil"/>
              <w:left w:val="nil"/>
              <w:bottom w:val="single" w:sz="4" w:space="0" w:color="auto"/>
              <w:right w:val="single" w:sz="4" w:space="0" w:color="auto"/>
            </w:tcBorders>
            <w:shd w:val="clear" w:color="auto" w:fill="auto"/>
            <w:noWrap/>
            <w:vAlign w:val="bottom"/>
            <w:hideMark/>
          </w:tcPr>
          <w:p w14:paraId="012EC44E"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81</w:t>
            </w:r>
          </w:p>
        </w:tc>
        <w:tc>
          <w:tcPr>
            <w:tcW w:w="0" w:type="auto"/>
            <w:tcBorders>
              <w:top w:val="nil"/>
              <w:left w:val="nil"/>
              <w:bottom w:val="single" w:sz="4" w:space="0" w:color="auto"/>
              <w:right w:val="single" w:sz="4" w:space="0" w:color="auto"/>
            </w:tcBorders>
            <w:shd w:val="clear" w:color="auto" w:fill="auto"/>
            <w:noWrap/>
            <w:vAlign w:val="bottom"/>
            <w:hideMark/>
          </w:tcPr>
          <w:p w14:paraId="7A2D97A9"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5 980</w:t>
            </w:r>
          </w:p>
        </w:tc>
        <w:tc>
          <w:tcPr>
            <w:tcW w:w="0" w:type="auto"/>
            <w:tcBorders>
              <w:top w:val="nil"/>
              <w:left w:val="nil"/>
              <w:bottom w:val="single" w:sz="4" w:space="0" w:color="auto"/>
              <w:right w:val="single" w:sz="4" w:space="0" w:color="auto"/>
            </w:tcBorders>
            <w:shd w:val="clear" w:color="auto" w:fill="auto"/>
            <w:noWrap/>
            <w:vAlign w:val="bottom"/>
            <w:hideMark/>
          </w:tcPr>
          <w:p w14:paraId="4220187F"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55</w:t>
            </w:r>
          </w:p>
        </w:tc>
        <w:tc>
          <w:tcPr>
            <w:tcW w:w="0" w:type="auto"/>
            <w:tcBorders>
              <w:top w:val="nil"/>
              <w:left w:val="nil"/>
              <w:bottom w:val="single" w:sz="4" w:space="0" w:color="auto"/>
              <w:right w:val="single" w:sz="4" w:space="0" w:color="auto"/>
            </w:tcBorders>
            <w:shd w:val="clear" w:color="auto" w:fill="auto"/>
            <w:noWrap/>
            <w:vAlign w:val="bottom"/>
            <w:hideMark/>
          </w:tcPr>
          <w:p w14:paraId="645886F1"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5 111</w:t>
            </w:r>
          </w:p>
        </w:tc>
        <w:tc>
          <w:tcPr>
            <w:tcW w:w="0" w:type="auto"/>
            <w:tcBorders>
              <w:top w:val="nil"/>
              <w:left w:val="nil"/>
              <w:bottom w:val="single" w:sz="4" w:space="0" w:color="auto"/>
              <w:right w:val="single" w:sz="4" w:space="0" w:color="auto"/>
            </w:tcBorders>
            <w:shd w:val="clear" w:color="auto" w:fill="auto"/>
            <w:noWrap/>
            <w:vAlign w:val="bottom"/>
            <w:hideMark/>
          </w:tcPr>
          <w:p w14:paraId="333DBE58"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w:t>
            </w:r>
          </w:p>
        </w:tc>
        <w:tc>
          <w:tcPr>
            <w:tcW w:w="0" w:type="auto"/>
            <w:tcBorders>
              <w:top w:val="nil"/>
              <w:left w:val="nil"/>
              <w:bottom w:val="single" w:sz="4" w:space="0" w:color="auto"/>
              <w:right w:val="single" w:sz="12" w:space="0" w:color="auto"/>
            </w:tcBorders>
            <w:shd w:val="clear" w:color="auto" w:fill="auto"/>
            <w:noWrap/>
            <w:vAlign w:val="bottom"/>
            <w:hideMark/>
          </w:tcPr>
          <w:p w14:paraId="62BBF3EF"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365</w:t>
            </w:r>
          </w:p>
        </w:tc>
      </w:tr>
      <w:tr w:rsidR="00AA3A5F" w:rsidRPr="00F86256" w14:paraId="005E1DBD" w14:textId="77777777" w:rsidTr="007A68D5">
        <w:trPr>
          <w:trHeight w:val="300"/>
        </w:trPr>
        <w:tc>
          <w:tcPr>
            <w:tcW w:w="0" w:type="auto"/>
            <w:tcBorders>
              <w:top w:val="nil"/>
              <w:left w:val="single" w:sz="12" w:space="0" w:color="auto"/>
              <w:bottom w:val="single" w:sz="4" w:space="0" w:color="auto"/>
              <w:right w:val="single" w:sz="4" w:space="0" w:color="auto"/>
            </w:tcBorders>
            <w:shd w:val="clear" w:color="auto" w:fill="auto"/>
            <w:noWrap/>
            <w:vAlign w:val="bottom"/>
            <w:hideMark/>
          </w:tcPr>
          <w:p w14:paraId="4B47EA13"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2013</w:t>
            </w:r>
          </w:p>
        </w:tc>
        <w:tc>
          <w:tcPr>
            <w:tcW w:w="0" w:type="auto"/>
            <w:tcBorders>
              <w:top w:val="nil"/>
              <w:left w:val="nil"/>
              <w:bottom w:val="single" w:sz="4" w:space="0" w:color="auto"/>
              <w:right w:val="single" w:sz="4" w:space="0" w:color="auto"/>
            </w:tcBorders>
            <w:shd w:val="clear" w:color="auto" w:fill="auto"/>
            <w:noWrap/>
            <w:vAlign w:val="bottom"/>
            <w:hideMark/>
          </w:tcPr>
          <w:p w14:paraId="20EBB737"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79</w:t>
            </w:r>
          </w:p>
        </w:tc>
        <w:tc>
          <w:tcPr>
            <w:tcW w:w="0" w:type="auto"/>
            <w:tcBorders>
              <w:top w:val="nil"/>
              <w:left w:val="nil"/>
              <w:bottom w:val="single" w:sz="4" w:space="0" w:color="auto"/>
              <w:right w:val="single" w:sz="4" w:space="0" w:color="auto"/>
            </w:tcBorders>
            <w:shd w:val="clear" w:color="auto" w:fill="auto"/>
            <w:noWrap/>
            <w:vAlign w:val="bottom"/>
            <w:hideMark/>
          </w:tcPr>
          <w:p w14:paraId="0DE08A6E"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5 951</w:t>
            </w:r>
          </w:p>
        </w:tc>
        <w:tc>
          <w:tcPr>
            <w:tcW w:w="0" w:type="auto"/>
            <w:tcBorders>
              <w:top w:val="nil"/>
              <w:left w:val="nil"/>
              <w:bottom w:val="single" w:sz="4" w:space="0" w:color="auto"/>
              <w:right w:val="single" w:sz="4" w:space="0" w:color="auto"/>
            </w:tcBorders>
            <w:shd w:val="clear" w:color="auto" w:fill="auto"/>
            <w:noWrap/>
            <w:vAlign w:val="bottom"/>
            <w:hideMark/>
          </w:tcPr>
          <w:p w14:paraId="7A2B6271"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59</w:t>
            </w:r>
          </w:p>
        </w:tc>
        <w:tc>
          <w:tcPr>
            <w:tcW w:w="0" w:type="auto"/>
            <w:tcBorders>
              <w:top w:val="nil"/>
              <w:left w:val="nil"/>
              <w:bottom w:val="single" w:sz="4" w:space="0" w:color="auto"/>
              <w:right w:val="single" w:sz="4" w:space="0" w:color="auto"/>
            </w:tcBorders>
            <w:shd w:val="clear" w:color="auto" w:fill="auto"/>
            <w:noWrap/>
            <w:vAlign w:val="bottom"/>
            <w:hideMark/>
          </w:tcPr>
          <w:p w14:paraId="6D6C8A00"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5 448</w:t>
            </w:r>
          </w:p>
        </w:tc>
        <w:tc>
          <w:tcPr>
            <w:tcW w:w="0" w:type="auto"/>
            <w:tcBorders>
              <w:top w:val="nil"/>
              <w:left w:val="nil"/>
              <w:bottom w:val="single" w:sz="4" w:space="0" w:color="auto"/>
              <w:right w:val="single" w:sz="4" w:space="0" w:color="auto"/>
            </w:tcBorders>
            <w:shd w:val="clear" w:color="auto" w:fill="auto"/>
            <w:noWrap/>
            <w:vAlign w:val="bottom"/>
            <w:hideMark/>
          </w:tcPr>
          <w:p w14:paraId="77F71310"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6</w:t>
            </w:r>
          </w:p>
        </w:tc>
        <w:tc>
          <w:tcPr>
            <w:tcW w:w="0" w:type="auto"/>
            <w:tcBorders>
              <w:top w:val="nil"/>
              <w:left w:val="nil"/>
              <w:bottom w:val="single" w:sz="4" w:space="0" w:color="auto"/>
              <w:right w:val="single" w:sz="12" w:space="0" w:color="auto"/>
            </w:tcBorders>
            <w:shd w:val="clear" w:color="auto" w:fill="auto"/>
            <w:noWrap/>
            <w:vAlign w:val="bottom"/>
            <w:hideMark/>
          </w:tcPr>
          <w:p w14:paraId="5CA350C3"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255</w:t>
            </w:r>
          </w:p>
        </w:tc>
      </w:tr>
      <w:tr w:rsidR="00AA3A5F" w:rsidRPr="00F86256" w14:paraId="490001F9" w14:textId="77777777" w:rsidTr="007A68D5">
        <w:trPr>
          <w:trHeight w:val="300"/>
        </w:trPr>
        <w:tc>
          <w:tcPr>
            <w:tcW w:w="0" w:type="auto"/>
            <w:tcBorders>
              <w:top w:val="nil"/>
              <w:left w:val="single" w:sz="12" w:space="0" w:color="auto"/>
              <w:bottom w:val="single" w:sz="4" w:space="0" w:color="auto"/>
              <w:right w:val="single" w:sz="4" w:space="0" w:color="auto"/>
            </w:tcBorders>
            <w:shd w:val="clear" w:color="auto" w:fill="auto"/>
            <w:noWrap/>
            <w:vAlign w:val="bottom"/>
            <w:hideMark/>
          </w:tcPr>
          <w:p w14:paraId="35A7876B"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2014</w:t>
            </w:r>
          </w:p>
        </w:tc>
        <w:tc>
          <w:tcPr>
            <w:tcW w:w="0" w:type="auto"/>
            <w:tcBorders>
              <w:top w:val="nil"/>
              <w:left w:val="nil"/>
              <w:bottom w:val="single" w:sz="4" w:space="0" w:color="auto"/>
              <w:right w:val="single" w:sz="4" w:space="0" w:color="auto"/>
            </w:tcBorders>
            <w:shd w:val="clear" w:color="auto" w:fill="auto"/>
            <w:noWrap/>
            <w:vAlign w:val="bottom"/>
            <w:hideMark/>
          </w:tcPr>
          <w:p w14:paraId="7702F0B5"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75</w:t>
            </w:r>
          </w:p>
        </w:tc>
        <w:tc>
          <w:tcPr>
            <w:tcW w:w="0" w:type="auto"/>
            <w:tcBorders>
              <w:top w:val="nil"/>
              <w:left w:val="nil"/>
              <w:bottom w:val="single" w:sz="4" w:space="0" w:color="auto"/>
              <w:right w:val="single" w:sz="4" w:space="0" w:color="auto"/>
            </w:tcBorders>
            <w:shd w:val="clear" w:color="auto" w:fill="auto"/>
            <w:noWrap/>
            <w:vAlign w:val="bottom"/>
            <w:hideMark/>
          </w:tcPr>
          <w:p w14:paraId="46D93A01"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5 707</w:t>
            </w:r>
          </w:p>
        </w:tc>
        <w:tc>
          <w:tcPr>
            <w:tcW w:w="0" w:type="auto"/>
            <w:tcBorders>
              <w:top w:val="nil"/>
              <w:left w:val="nil"/>
              <w:bottom w:val="single" w:sz="4" w:space="0" w:color="auto"/>
              <w:right w:val="single" w:sz="4" w:space="0" w:color="auto"/>
            </w:tcBorders>
            <w:shd w:val="clear" w:color="auto" w:fill="auto"/>
            <w:noWrap/>
            <w:vAlign w:val="bottom"/>
            <w:hideMark/>
          </w:tcPr>
          <w:p w14:paraId="169301B9"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58</w:t>
            </w:r>
          </w:p>
        </w:tc>
        <w:tc>
          <w:tcPr>
            <w:tcW w:w="0" w:type="auto"/>
            <w:tcBorders>
              <w:top w:val="nil"/>
              <w:left w:val="nil"/>
              <w:bottom w:val="single" w:sz="4" w:space="0" w:color="auto"/>
              <w:right w:val="single" w:sz="4" w:space="0" w:color="auto"/>
            </w:tcBorders>
            <w:shd w:val="clear" w:color="auto" w:fill="auto"/>
            <w:noWrap/>
            <w:vAlign w:val="bottom"/>
            <w:hideMark/>
          </w:tcPr>
          <w:p w14:paraId="20B5C304"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5 010</w:t>
            </w:r>
          </w:p>
        </w:tc>
        <w:tc>
          <w:tcPr>
            <w:tcW w:w="0" w:type="auto"/>
            <w:tcBorders>
              <w:top w:val="nil"/>
              <w:left w:val="nil"/>
              <w:bottom w:val="single" w:sz="4" w:space="0" w:color="auto"/>
              <w:right w:val="single" w:sz="4" w:space="0" w:color="auto"/>
            </w:tcBorders>
            <w:shd w:val="clear" w:color="auto" w:fill="auto"/>
            <w:noWrap/>
            <w:vAlign w:val="bottom"/>
            <w:hideMark/>
          </w:tcPr>
          <w:p w14:paraId="78073BC1"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6</w:t>
            </w:r>
          </w:p>
        </w:tc>
        <w:tc>
          <w:tcPr>
            <w:tcW w:w="0" w:type="auto"/>
            <w:tcBorders>
              <w:top w:val="nil"/>
              <w:left w:val="nil"/>
              <w:bottom w:val="single" w:sz="4" w:space="0" w:color="auto"/>
              <w:right w:val="single" w:sz="12" w:space="0" w:color="auto"/>
            </w:tcBorders>
            <w:shd w:val="clear" w:color="auto" w:fill="auto"/>
            <w:noWrap/>
            <w:vAlign w:val="bottom"/>
            <w:hideMark/>
          </w:tcPr>
          <w:p w14:paraId="488C4A02"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387</w:t>
            </w:r>
          </w:p>
        </w:tc>
      </w:tr>
      <w:tr w:rsidR="00AA3A5F" w:rsidRPr="00F86256" w14:paraId="46357DD7" w14:textId="77777777" w:rsidTr="007A68D5">
        <w:trPr>
          <w:trHeight w:val="300"/>
        </w:trPr>
        <w:tc>
          <w:tcPr>
            <w:tcW w:w="0" w:type="auto"/>
            <w:tcBorders>
              <w:top w:val="nil"/>
              <w:left w:val="single" w:sz="12" w:space="0" w:color="auto"/>
              <w:bottom w:val="single" w:sz="4" w:space="0" w:color="auto"/>
              <w:right w:val="single" w:sz="4" w:space="0" w:color="auto"/>
            </w:tcBorders>
            <w:shd w:val="clear" w:color="auto" w:fill="auto"/>
            <w:noWrap/>
            <w:vAlign w:val="bottom"/>
            <w:hideMark/>
          </w:tcPr>
          <w:p w14:paraId="20587FBB"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2015</w:t>
            </w:r>
          </w:p>
        </w:tc>
        <w:tc>
          <w:tcPr>
            <w:tcW w:w="0" w:type="auto"/>
            <w:tcBorders>
              <w:top w:val="nil"/>
              <w:left w:val="nil"/>
              <w:bottom w:val="single" w:sz="4" w:space="0" w:color="auto"/>
              <w:right w:val="single" w:sz="4" w:space="0" w:color="auto"/>
            </w:tcBorders>
            <w:shd w:val="clear" w:color="auto" w:fill="auto"/>
            <w:noWrap/>
            <w:vAlign w:val="bottom"/>
            <w:hideMark/>
          </w:tcPr>
          <w:p w14:paraId="7E28ED57"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84</w:t>
            </w:r>
          </w:p>
        </w:tc>
        <w:tc>
          <w:tcPr>
            <w:tcW w:w="0" w:type="auto"/>
            <w:tcBorders>
              <w:top w:val="nil"/>
              <w:left w:val="nil"/>
              <w:bottom w:val="single" w:sz="4" w:space="0" w:color="auto"/>
              <w:right w:val="single" w:sz="4" w:space="0" w:color="auto"/>
            </w:tcBorders>
            <w:shd w:val="clear" w:color="auto" w:fill="auto"/>
            <w:noWrap/>
            <w:vAlign w:val="bottom"/>
            <w:hideMark/>
          </w:tcPr>
          <w:p w14:paraId="03261C98"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6 165</w:t>
            </w:r>
          </w:p>
        </w:tc>
        <w:tc>
          <w:tcPr>
            <w:tcW w:w="0" w:type="auto"/>
            <w:tcBorders>
              <w:top w:val="nil"/>
              <w:left w:val="nil"/>
              <w:bottom w:val="single" w:sz="4" w:space="0" w:color="auto"/>
              <w:right w:val="single" w:sz="4" w:space="0" w:color="auto"/>
            </w:tcBorders>
            <w:shd w:val="clear" w:color="auto" w:fill="auto"/>
            <w:noWrap/>
            <w:vAlign w:val="bottom"/>
            <w:hideMark/>
          </w:tcPr>
          <w:p w14:paraId="68239B9A"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56</w:t>
            </w:r>
          </w:p>
        </w:tc>
        <w:tc>
          <w:tcPr>
            <w:tcW w:w="0" w:type="auto"/>
            <w:tcBorders>
              <w:top w:val="nil"/>
              <w:left w:val="nil"/>
              <w:bottom w:val="single" w:sz="4" w:space="0" w:color="auto"/>
              <w:right w:val="single" w:sz="4" w:space="0" w:color="auto"/>
            </w:tcBorders>
            <w:shd w:val="clear" w:color="auto" w:fill="auto"/>
            <w:noWrap/>
            <w:vAlign w:val="bottom"/>
            <w:hideMark/>
          </w:tcPr>
          <w:p w14:paraId="39155F7B"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5 077</w:t>
            </w:r>
          </w:p>
        </w:tc>
        <w:tc>
          <w:tcPr>
            <w:tcW w:w="0" w:type="auto"/>
            <w:tcBorders>
              <w:top w:val="nil"/>
              <w:left w:val="nil"/>
              <w:bottom w:val="single" w:sz="4" w:space="0" w:color="auto"/>
              <w:right w:val="single" w:sz="4" w:space="0" w:color="auto"/>
            </w:tcBorders>
            <w:shd w:val="clear" w:color="auto" w:fill="auto"/>
            <w:noWrap/>
            <w:vAlign w:val="bottom"/>
            <w:hideMark/>
          </w:tcPr>
          <w:p w14:paraId="03FCB7D2"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8</w:t>
            </w:r>
          </w:p>
        </w:tc>
        <w:tc>
          <w:tcPr>
            <w:tcW w:w="0" w:type="auto"/>
            <w:tcBorders>
              <w:top w:val="nil"/>
              <w:left w:val="nil"/>
              <w:bottom w:val="single" w:sz="4" w:space="0" w:color="auto"/>
              <w:right w:val="single" w:sz="12" w:space="0" w:color="auto"/>
            </w:tcBorders>
            <w:shd w:val="clear" w:color="auto" w:fill="auto"/>
            <w:noWrap/>
            <w:vAlign w:val="bottom"/>
            <w:hideMark/>
          </w:tcPr>
          <w:p w14:paraId="1124A75E"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486</w:t>
            </w:r>
          </w:p>
        </w:tc>
      </w:tr>
      <w:tr w:rsidR="00AA3A5F" w:rsidRPr="00F86256" w14:paraId="5052862E" w14:textId="77777777" w:rsidTr="007A68D5">
        <w:trPr>
          <w:trHeight w:val="300"/>
        </w:trPr>
        <w:tc>
          <w:tcPr>
            <w:tcW w:w="0" w:type="auto"/>
            <w:tcBorders>
              <w:top w:val="nil"/>
              <w:left w:val="single" w:sz="12" w:space="0" w:color="auto"/>
              <w:bottom w:val="single" w:sz="4" w:space="0" w:color="auto"/>
              <w:right w:val="single" w:sz="4" w:space="0" w:color="auto"/>
            </w:tcBorders>
            <w:shd w:val="clear" w:color="auto" w:fill="auto"/>
            <w:noWrap/>
            <w:vAlign w:val="bottom"/>
            <w:hideMark/>
          </w:tcPr>
          <w:p w14:paraId="0D297FE5"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2016</w:t>
            </w:r>
          </w:p>
        </w:tc>
        <w:tc>
          <w:tcPr>
            <w:tcW w:w="0" w:type="auto"/>
            <w:tcBorders>
              <w:top w:val="nil"/>
              <w:left w:val="nil"/>
              <w:bottom w:val="single" w:sz="4" w:space="0" w:color="auto"/>
              <w:right w:val="single" w:sz="4" w:space="0" w:color="auto"/>
            </w:tcBorders>
            <w:shd w:val="clear" w:color="auto" w:fill="auto"/>
            <w:noWrap/>
            <w:vAlign w:val="bottom"/>
            <w:hideMark/>
          </w:tcPr>
          <w:p w14:paraId="0C1C1F0E"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93</w:t>
            </w:r>
          </w:p>
        </w:tc>
        <w:tc>
          <w:tcPr>
            <w:tcW w:w="0" w:type="auto"/>
            <w:tcBorders>
              <w:top w:val="nil"/>
              <w:left w:val="nil"/>
              <w:bottom w:val="single" w:sz="4" w:space="0" w:color="auto"/>
              <w:right w:val="single" w:sz="4" w:space="0" w:color="auto"/>
            </w:tcBorders>
            <w:shd w:val="clear" w:color="auto" w:fill="auto"/>
            <w:noWrap/>
            <w:vAlign w:val="bottom"/>
            <w:hideMark/>
          </w:tcPr>
          <w:p w14:paraId="2DE00BAB"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7 314</w:t>
            </w:r>
          </w:p>
        </w:tc>
        <w:tc>
          <w:tcPr>
            <w:tcW w:w="0" w:type="auto"/>
            <w:tcBorders>
              <w:top w:val="nil"/>
              <w:left w:val="nil"/>
              <w:bottom w:val="single" w:sz="4" w:space="0" w:color="auto"/>
              <w:right w:val="single" w:sz="4" w:space="0" w:color="auto"/>
            </w:tcBorders>
            <w:shd w:val="clear" w:color="auto" w:fill="auto"/>
            <w:noWrap/>
            <w:vAlign w:val="bottom"/>
            <w:hideMark/>
          </w:tcPr>
          <w:p w14:paraId="072C5FB7"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59</w:t>
            </w:r>
          </w:p>
        </w:tc>
        <w:tc>
          <w:tcPr>
            <w:tcW w:w="0" w:type="auto"/>
            <w:tcBorders>
              <w:top w:val="nil"/>
              <w:left w:val="nil"/>
              <w:bottom w:val="single" w:sz="4" w:space="0" w:color="auto"/>
              <w:right w:val="single" w:sz="4" w:space="0" w:color="auto"/>
            </w:tcBorders>
            <w:shd w:val="clear" w:color="auto" w:fill="auto"/>
            <w:noWrap/>
            <w:vAlign w:val="bottom"/>
            <w:hideMark/>
          </w:tcPr>
          <w:p w14:paraId="4C60929F"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5 860</w:t>
            </w:r>
          </w:p>
        </w:tc>
        <w:tc>
          <w:tcPr>
            <w:tcW w:w="0" w:type="auto"/>
            <w:tcBorders>
              <w:top w:val="nil"/>
              <w:left w:val="nil"/>
              <w:bottom w:val="single" w:sz="4" w:space="0" w:color="auto"/>
              <w:right w:val="single" w:sz="4" w:space="0" w:color="auto"/>
            </w:tcBorders>
            <w:shd w:val="clear" w:color="auto" w:fill="auto"/>
            <w:noWrap/>
            <w:vAlign w:val="bottom"/>
            <w:hideMark/>
          </w:tcPr>
          <w:p w14:paraId="2FE5BEDF"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10</w:t>
            </w:r>
          </w:p>
        </w:tc>
        <w:tc>
          <w:tcPr>
            <w:tcW w:w="0" w:type="auto"/>
            <w:tcBorders>
              <w:top w:val="nil"/>
              <w:left w:val="nil"/>
              <w:bottom w:val="single" w:sz="4" w:space="0" w:color="auto"/>
              <w:right w:val="single" w:sz="12" w:space="0" w:color="auto"/>
            </w:tcBorders>
            <w:shd w:val="clear" w:color="auto" w:fill="auto"/>
            <w:noWrap/>
            <w:vAlign w:val="bottom"/>
            <w:hideMark/>
          </w:tcPr>
          <w:p w14:paraId="1BD83413"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523</w:t>
            </w:r>
          </w:p>
        </w:tc>
      </w:tr>
      <w:tr w:rsidR="00AA3A5F" w:rsidRPr="00F86256" w14:paraId="0307809A" w14:textId="77777777" w:rsidTr="007A68D5">
        <w:trPr>
          <w:trHeight w:val="315"/>
        </w:trPr>
        <w:tc>
          <w:tcPr>
            <w:tcW w:w="0" w:type="auto"/>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08F28548"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2017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AEFC437"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96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B476080"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7 116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4DE544"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65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3614895"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6 235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62A3EAB"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5</w:t>
            </w:r>
          </w:p>
        </w:tc>
        <w:tc>
          <w:tcPr>
            <w:tcW w:w="0" w:type="auto"/>
            <w:tcBorders>
              <w:top w:val="single" w:sz="4" w:space="0" w:color="auto"/>
              <w:left w:val="nil"/>
              <w:bottom w:val="single" w:sz="4" w:space="0" w:color="auto"/>
              <w:right w:val="single" w:sz="12" w:space="0" w:color="auto"/>
            </w:tcBorders>
            <w:shd w:val="clear" w:color="auto" w:fill="auto"/>
            <w:noWrap/>
            <w:vAlign w:val="bottom"/>
            <w:hideMark/>
          </w:tcPr>
          <w:p w14:paraId="6DB2E4FC"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177</w:t>
            </w:r>
          </w:p>
        </w:tc>
      </w:tr>
      <w:tr w:rsidR="00AA3A5F" w:rsidRPr="00F86256" w14:paraId="403B6AC5" w14:textId="77777777" w:rsidTr="007A68D5">
        <w:trPr>
          <w:trHeight w:val="315"/>
        </w:trPr>
        <w:tc>
          <w:tcPr>
            <w:tcW w:w="0" w:type="auto"/>
            <w:tcBorders>
              <w:top w:val="single" w:sz="4" w:space="0" w:color="auto"/>
              <w:left w:val="single" w:sz="12" w:space="0" w:color="auto"/>
              <w:bottom w:val="single" w:sz="4" w:space="0" w:color="auto"/>
              <w:right w:val="single" w:sz="4" w:space="0" w:color="auto"/>
            </w:tcBorders>
            <w:shd w:val="clear" w:color="auto" w:fill="auto"/>
            <w:noWrap/>
            <w:vAlign w:val="bottom"/>
          </w:tcPr>
          <w:p w14:paraId="51DD3A88"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2018</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F1B6227"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99</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8914E7B"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7 011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97C9622"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69</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B985AD7"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6 278</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EE19E54"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2</w:t>
            </w:r>
          </w:p>
        </w:tc>
        <w:tc>
          <w:tcPr>
            <w:tcW w:w="0" w:type="auto"/>
            <w:tcBorders>
              <w:top w:val="single" w:sz="4" w:space="0" w:color="auto"/>
              <w:left w:val="nil"/>
              <w:bottom w:val="single" w:sz="4" w:space="0" w:color="auto"/>
              <w:right w:val="single" w:sz="12" w:space="0" w:color="auto"/>
            </w:tcBorders>
            <w:shd w:val="clear" w:color="auto" w:fill="auto"/>
            <w:noWrap/>
            <w:vAlign w:val="bottom"/>
          </w:tcPr>
          <w:p w14:paraId="6083ED81"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101</w:t>
            </w:r>
          </w:p>
        </w:tc>
      </w:tr>
      <w:tr w:rsidR="00AA3A5F" w:rsidRPr="00F86256" w14:paraId="1E872637" w14:textId="77777777" w:rsidTr="007A68D5">
        <w:trPr>
          <w:trHeight w:val="315"/>
        </w:trPr>
        <w:tc>
          <w:tcPr>
            <w:tcW w:w="0" w:type="auto"/>
            <w:tcBorders>
              <w:top w:val="single" w:sz="4" w:space="0" w:color="auto"/>
              <w:left w:val="single" w:sz="12" w:space="0" w:color="auto"/>
              <w:bottom w:val="single" w:sz="12" w:space="0" w:color="auto"/>
              <w:right w:val="single" w:sz="4" w:space="0" w:color="auto"/>
            </w:tcBorders>
            <w:shd w:val="clear" w:color="auto" w:fill="auto"/>
            <w:noWrap/>
            <w:vAlign w:val="bottom"/>
          </w:tcPr>
          <w:p w14:paraId="427BD98A" w14:textId="77777777" w:rsidR="00AA3A5F" w:rsidRPr="00F86256" w:rsidRDefault="00AA3A5F" w:rsidP="007A68D5">
            <w:pPr>
              <w:jc w:val="right"/>
              <w:rPr>
                <w:rFonts w:cs="Times New Roman"/>
                <w:b/>
                <w:bCs/>
                <w:sz w:val="20"/>
                <w:szCs w:val="20"/>
                <w:lang w:val="cs-CZ"/>
              </w:rPr>
            </w:pPr>
            <w:r w:rsidRPr="00F86256">
              <w:rPr>
                <w:rFonts w:cs="Times New Roman"/>
                <w:b/>
                <w:bCs/>
                <w:sz w:val="20"/>
                <w:szCs w:val="20"/>
                <w:lang w:val="cs-CZ"/>
              </w:rPr>
              <w:t>2019</w:t>
            </w:r>
          </w:p>
        </w:tc>
        <w:tc>
          <w:tcPr>
            <w:tcW w:w="0" w:type="auto"/>
            <w:tcBorders>
              <w:top w:val="single" w:sz="4" w:space="0" w:color="auto"/>
              <w:left w:val="nil"/>
              <w:bottom w:val="single" w:sz="12" w:space="0" w:color="auto"/>
              <w:right w:val="single" w:sz="4" w:space="0" w:color="auto"/>
            </w:tcBorders>
            <w:shd w:val="clear" w:color="auto" w:fill="auto"/>
            <w:noWrap/>
            <w:vAlign w:val="bottom"/>
          </w:tcPr>
          <w:p w14:paraId="24555209"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94</w:t>
            </w:r>
          </w:p>
        </w:tc>
        <w:tc>
          <w:tcPr>
            <w:tcW w:w="0" w:type="auto"/>
            <w:tcBorders>
              <w:top w:val="single" w:sz="4" w:space="0" w:color="auto"/>
              <w:left w:val="nil"/>
              <w:bottom w:val="single" w:sz="12" w:space="0" w:color="auto"/>
              <w:right w:val="single" w:sz="4" w:space="0" w:color="auto"/>
            </w:tcBorders>
            <w:shd w:val="clear" w:color="auto" w:fill="auto"/>
            <w:noWrap/>
            <w:vAlign w:val="bottom"/>
          </w:tcPr>
          <w:p w14:paraId="7838E102"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6 917</w:t>
            </w:r>
          </w:p>
        </w:tc>
        <w:tc>
          <w:tcPr>
            <w:tcW w:w="0" w:type="auto"/>
            <w:tcBorders>
              <w:top w:val="single" w:sz="4" w:space="0" w:color="auto"/>
              <w:left w:val="nil"/>
              <w:bottom w:val="single" w:sz="12" w:space="0" w:color="auto"/>
              <w:right w:val="single" w:sz="4" w:space="0" w:color="auto"/>
            </w:tcBorders>
            <w:shd w:val="clear" w:color="auto" w:fill="auto"/>
            <w:noWrap/>
            <w:vAlign w:val="bottom"/>
          </w:tcPr>
          <w:p w14:paraId="391CFD57"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68</w:t>
            </w:r>
          </w:p>
        </w:tc>
        <w:tc>
          <w:tcPr>
            <w:tcW w:w="0" w:type="auto"/>
            <w:tcBorders>
              <w:top w:val="single" w:sz="4" w:space="0" w:color="auto"/>
              <w:left w:val="nil"/>
              <w:bottom w:val="single" w:sz="12" w:space="0" w:color="auto"/>
              <w:right w:val="single" w:sz="4" w:space="0" w:color="auto"/>
            </w:tcBorders>
            <w:shd w:val="clear" w:color="auto" w:fill="auto"/>
            <w:noWrap/>
            <w:vAlign w:val="bottom"/>
          </w:tcPr>
          <w:p w14:paraId="282FD6F0"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6 512</w:t>
            </w:r>
          </w:p>
        </w:tc>
        <w:tc>
          <w:tcPr>
            <w:tcW w:w="0" w:type="auto"/>
            <w:tcBorders>
              <w:top w:val="single" w:sz="4" w:space="0" w:color="auto"/>
              <w:left w:val="nil"/>
              <w:bottom w:val="single" w:sz="12" w:space="0" w:color="auto"/>
              <w:right w:val="single" w:sz="4" w:space="0" w:color="auto"/>
            </w:tcBorders>
            <w:shd w:val="clear" w:color="auto" w:fill="auto"/>
            <w:noWrap/>
            <w:vAlign w:val="bottom"/>
          </w:tcPr>
          <w:p w14:paraId="4E5570FB"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4</w:t>
            </w:r>
          </w:p>
        </w:tc>
        <w:tc>
          <w:tcPr>
            <w:tcW w:w="0" w:type="auto"/>
            <w:tcBorders>
              <w:top w:val="single" w:sz="4" w:space="0" w:color="auto"/>
              <w:left w:val="nil"/>
              <w:bottom w:val="single" w:sz="12" w:space="0" w:color="auto"/>
              <w:right w:val="single" w:sz="12" w:space="0" w:color="auto"/>
            </w:tcBorders>
            <w:shd w:val="clear" w:color="auto" w:fill="auto"/>
            <w:noWrap/>
            <w:vAlign w:val="bottom"/>
          </w:tcPr>
          <w:p w14:paraId="3EDC2513" w14:textId="77777777" w:rsidR="00AA3A5F" w:rsidRPr="00F86256" w:rsidRDefault="00AA3A5F" w:rsidP="007A68D5">
            <w:pPr>
              <w:jc w:val="center"/>
              <w:rPr>
                <w:rFonts w:cs="Times New Roman"/>
                <w:sz w:val="20"/>
                <w:szCs w:val="20"/>
                <w:lang w:val="cs-CZ"/>
              </w:rPr>
            </w:pPr>
            <w:r w:rsidRPr="00F86256">
              <w:rPr>
                <w:rFonts w:cs="Times New Roman"/>
                <w:sz w:val="20"/>
                <w:szCs w:val="20"/>
                <w:lang w:val="cs-CZ"/>
              </w:rPr>
              <w:t>83</w:t>
            </w:r>
          </w:p>
        </w:tc>
      </w:tr>
    </w:tbl>
    <w:p w14:paraId="41D1DD6E" w14:textId="77777777" w:rsidR="00AA3A5F" w:rsidRPr="00B25A22" w:rsidRDefault="00AA3A5F" w:rsidP="00F86256">
      <w:pPr>
        <w:pStyle w:val="UZEIZdroj"/>
      </w:pPr>
      <w:r w:rsidRPr="00B25A22">
        <w:t>Pramen: Situační a výhledová zpráva zelenina 2017 (SZIF, ZUČM)</w:t>
      </w:r>
    </w:p>
    <w:p w14:paraId="2B288972" w14:textId="77777777" w:rsidR="00AA3A5F" w:rsidRPr="00B25A22" w:rsidRDefault="00AA3A5F" w:rsidP="00F86256">
      <w:pPr>
        <w:pStyle w:val="UZEINormaln"/>
        <w:rPr>
          <w:rFonts w:eastAsia="Calibri"/>
        </w:rPr>
      </w:pPr>
      <w:r w:rsidRPr="00B25A22">
        <w:rPr>
          <w:rFonts w:eastAsia="Calibri"/>
        </w:rPr>
        <w:t>Zelináři nemají povědomí o evropských značkách jako je chráněné označení původu a chráněné zeměpisné označení. Rádi by se účastnili soutěže o regionální potravinu, ale vzhledem k nevhodnému termínu nemají možnost nabídnout svoji produkci.</w:t>
      </w:r>
    </w:p>
    <w:p w14:paraId="4D2DB500" w14:textId="77777777" w:rsidR="00AA3A5F" w:rsidRPr="00B25A22" w:rsidRDefault="00AA3A5F" w:rsidP="00F86256">
      <w:pPr>
        <w:pStyle w:val="UZEINormaln"/>
        <w:rPr>
          <w:rFonts w:eastAsia="Calibri"/>
          <w:b/>
        </w:rPr>
      </w:pPr>
      <w:r w:rsidRPr="00B25A22">
        <w:rPr>
          <w:rFonts w:eastAsia="Calibri"/>
          <w:b/>
        </w:rPr>
        <w:t>Ovoce</w:t>
      </w:r>
    </w:p>
    <w:p w14:paraId="6D85B1FD" w14:textId="77777777" w:rsidR="00AA3A5F" w:rsidRPr="00B25A22" w:rsidRDefault="00AA3A5F" w:rsidP="00F86256">
      <w:pPr>
        <w:pStyle w:val="UZEINormaln"/>
        <w:rPr>
          <w:rFonts w:eastAsia="Calibri"/>
        </w:rPr>
      </w:pPr>
      <w:r w:rsidRPr="00B25A22">
        <w:rPr>
          <w:rFonts w:eastAsia="Calibri"/>
        </w:rPr>
        <w:t xml:space="preserve">Ovocnáři využívají </w:t>
      </w:r>
      <w:r w:rsidRPr="00B25A22">
        <w:rPr>
          <w:rFonts w:eastAsia="Calibri"/>
          <w:b/>
        </w:rPr>
        <w:t>systém integrované</w:t>
      </w:r>
      <w:r w:rsidRPr="00B25A22">
        <w:rPr>
          <w:rFonts w:eastAsia="Calibri"/>
        </w:rPr>
        <w:t xml:space="preserve"> </w:t>
      </w:r>
      <w:r w:rsidRPr="00B25A22">
        <w:rPr>
          <w:b/>
        </w:rPr>
        <w:t>produkce ovoce (IPO)</w:t>
      </w:r>
      <w:r w:rsidRPr="00B25A22">
        <w:t xml:space="preserve">. Ovoce je v maloobchodě označeno značkou </w:t>
      </w:r>
      <w:r w:rsidRPr="00B25A22">
        <w:rPr>
          <w:rFonts w:eastAsia="Calibri"/>
          <w:b/>
        </w:rPr>
        <w:t>Svazu pro integrované systémy</w:t>
      </w:r>
      <w:r w:rsidRPr="00B25A22">
        <w:t xml:space="preserve"> </w:t>
      </w:r>
      <w:r w:rsidRPr="00B25A22">
        <w:rPr>
          <w:b/>
          <w:bCs/>
        </w:rPr>
        <w:t>produkce ovoce</w:t>
      </w:r>
      <w:r w:rsidRPr="00B25A22">
        <w:t xml:space="preserve"> (SISPO). Ovoce je produkováno výhradně v českých zemích. </w:t>
      </w:r>
      <w:r w:rsidRPr="00B25A22">
        <w:rPr>
          <w:rFonts w:eastAsia="Calibri"/>
        </w:rPr>
        <w:t>K 1. 8. 2019 bylo registrováno 359 členů (z toho 6 nevýrobní podniky), s celkovou výměrou ovocných sadů a školek 10 039 ha.</w:t>
      </w:r>
    </w:p>
    <w:p w14:paraId="3D0A33D1" w14:textId="1864FFD0" w:rsidR="00AA3A5F" w:rsidRPr="00B25A22" w:rsidRDefault="00F86256" w:rsidP="00F86256">
      <w:pPr>
        <w:pStyle w:val="UZEITaB"/>
        <w:rPr>
          <w:rFonts w:eastAsia="Calibri"/>
        </w:rPr>
      </w:pPr>
      <w:r>
        <w:rPr>
          <w:rFonts w:eastAsia="Calibri"/>
        </w:rPr>
        <w:t xml:space="preserve"> </w:t>
      </w:r>
      <w:bookmarkStart w:id="74" w:name="_Toc81743459"/>
      <w:r w:rsidR="00AA3A5F" w:rsidRPr="00B25A22">
        <w:rPr>
          <w:rFonts w:eastAsia="Calibri"/>
        </w:rPr>
        <w:t>Přehled pěstitelů SISPO</w:t>
      </w:r>
      <w:bookmarkEnd w:id="74"/>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8"/>
        <w:gridCol w:w="3138"/>
        <w:gridCol w:w="1336"/>
        <w:gridCol w:w="3590"/>
      </w:tblGrid>
      <w:tr w:rsidR="00AA3A5F" w:rsidRPr="00B25A22" w14:paraId="480D9E56" w14:textId="77777777" w:rsidTr="007A68D5">
        <w:trPr>
          <w:trHeight w:val="300"/>
        </w:trPr>
        <w:tc>
          <w:tcPr>
            <w:tcW w:w="541" w:type="pct"/>
            <w:shd w:val="clear" w:color="auto" w:fill="auto"/>
            <w:noWrap/>
            <w:vAlign w:val="bottom"/>
            <w:hideMark/>
          </w:tcPr>
          <w:p w14:paraId="4B72AAF9" w14:textId="77777777" w:rsidR="00AA3A5F" w:rsidRPr="00B25A22" w:rsidRDefault="00AA3A5F" w:rsidP="007A68D5">
            <w:pPr>
              <w:jc w:val="left"/>
              <w:rPr>
                <w:rFonts w:cs="Times New Roman"/>
                <w:sz w:val="20"/>
                <w:szCs w:val="20"/>
                <w:lang w:val="cs-CZ"/>
              </w:rPr>
            </w:pPr>
          </w:p>
        </w:tc>
        <w:tc>
          <w:tcPr>
            <w:tcW w:w="1735" w:type="pct"/>
            <w:shd w:val="clear" w:color="auto" w:fill="auto"/>
            <w:noWrap/>
            <w:vAlign w:val="bottom"/>
            <w:hideMark/>
          </w:tcPr>
          <w:p w14:paraId="0915E854" w14:textId="77777777" w:rsidR="00AA3A5F" w:rsidRPr="00B25A22" w:rsidRDefault="00AA3A5F" w:rsidP="007A68D5">
            <w:pPr>
              <w:jc w:val="left"/>
              <w:rPr>
                <w:rFonts w:cs="Times New Roman"/>
                <w:sz w:val="20"/>
                <w:szCs w:val="20"/>
                <w:lang w:val="cs-CZ"/>
              </w:rPr>
            </w:pPr>
          </w:p>
        </w:tc>
        <w:tc>
          <w:tcPr>
            <w:tcW w:w="739" w:type="pct"/>
            <w:shd w:val="clear" w:color="auto" w:fill="auto"/>
            <w:noWrap/>
            <w:vAlign w:val="bottom"/>
            <w:hideMark/>
          </w:tcPr>
          <w:p w14:paraId="287E9823" w14:textId="77777777" w:rsidR="00AA3A5F" w:rsidRPr="00B25A22" w:rsidRDefault="00AA3A5F" w:rsidP="007A68D5">
            <w:pPr>
              <w:jc w:val="left"/>
              <w:rPr>
                <w:rFonts w:cs="Times New Roman"/>
                <w:sz w:val="20"/>
                <w:szCs w:val="20"/>
                <w:lang w:val="cs-CZ"/>
              </w:rPr>
            </w:pPr>
            <w:r w:rsidRPr="00B25A22">
              <w:rPr>
                <w:rFonts w:cs="Times New Roman"/>
                <w:sz w:val="20"/>
                <w:szCs w:val="20"/>
                <w:lang w:val="cs-CZ"/>
              </w:rPr>
              <w:t>Počet pěstitelů</w:t>
            </w:r>
          </w:p>
        </w:tc>
        <w:tc>
          <w:tcPr>
            <w:tcW w:w="1986" w:type="pct"/>
            <w:shd w:val="clear" w:color="auto" w:fill="auto"/>
            <w:noWrap/>
            <w:vAlign w:val="bottom"/>
            <w:hideMark/>
          </w:tcPr>
          <w:p w14:paraId="1B9F4458" w14:textId="77777777" w:rsidR="00AA3A5F" w:rsidRPr="00B25A22" w:rsidRDefault="00AA3A5F" w:rsidP="007A68D5">
            <w:pPr>
              <w:jc w:val="left"/>
              <w:rPr>
                <w:rFonts w:cs="Times New Roman"/>
                <w:b/>
                <w:bCs/>
                <w:color w:val="000000"/>
                <w:sz w:val="20"/>
                <w:szCs w:val="20"/>
                <w:lang w:val="cs-CZ"/>
              </w:rPr>
            </w:pPr>
            <w:r w:rsidRPr="00B25A22">
              <w:rPr>
                <w:rFonts w:cs="Times New Roman"/>
                <w:b/>
                <w:bCs/>
                <w:color w:val="000000"/>
                <w:sz w:val="20"/>
                <w:szCs w:val="20"/>
                <w:lang w:val="cs-CZ"/>
              </w:rPr>
              <w:t>celková výměra hektarech</w:t>
            </w:r>
          </w:p>
        </w:tc>
      </w:tr>
      <w:tr w:rsidR="00AA3A5F" w:rsidRPr="00B25A22" w14:paraId="7364ECEF" w14:textId="77777777" w:rsidTr="007A68D5">
        <w:trPr>
          <w:trHeight w:val="386"/>
        </w:trPr>
        <w:tc>
          <w:tcPr>
            <w:tcW w:w="541" w:type="pct"/>
            <w:shd w:val="clear" w:color="auto" w:fill="auto"/>
            <w:noWrap/>
            <w:vAlign w:val="bottom"/>
            <w:hideMark/>
          </w:tcPr>
          <w:p w14:paraId="4D803630"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 xml:space="preserve">z toho </w:t>
            </w:r>
          </w:p>
        </w:tc>
        <w:tc>
          <w:tcPr>
            <w:tcW w:w="1735" w:type="pct"/>
            <w:shd w:val="clear" w:color="auto" w:fill="auto"/>
            <w:vAlign w:val="bottom"/>
            <w:hideMark/>
          </w:tcPr>
          <w:p w14:paraId="4AABAD53"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s ochrannou známkou SISPO 2019</w:t>
            </w:r>
          </w:p>
        </w:tc>
        <w:tc>
          <w:tcPr>
            <w:tcW w:w="739" w:type="pct"/>
            <w:shd w:val="clear" w:color="auto" w:fill="auto"/>
            <w:noWrap/>
            <w:vAlign w:val="bottom"/>
            <w:hideMark/>
          </w:tcPr>
          <w:p w14:paraId="3725137B"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238</w:t>
            </w:r>
          </w:p>
        </w:tc>
        <w:tc>
          <w:tcPr>
            <w:tcW w:w="1986" w:type="pct"/>
            <w:shd w:val="clear" w:color="auto" w:fill="auto"/>
            <w:noWrap/>
            <w:vAlign w:val="bottom"/>
            <w:hideMark/>
          </w:tcPr>
          <w:p w14:paraId="246936B8"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8 808</w:t>
            </w:r>
          </w:p>
        </w:tc>
      </w:tr>
      <w:tr w:rsidR="00AA3A5F" w:rsidRPr="00B25A22" w14:paraId="57DA63CF" w14:textId="77777777" w:rsidTr="007A68D5">
        <w:trPr>
          <w:trHeight w:val="278"/>
        </w:trPr>
        <w:tc>
          <w:tcPr>
            <w:tcW w:w="541" w:type="pct"/>
            <w:shd w:val="clear" w:color="auto" w:fill="auto"/>
            <w:noWrap/>
            <w:vAlign w:val="bottom"/>
            <w:hideMark/>
          </w:tcPr>
          <w:p w14:paraId="01E28098" w14:textId="77777777" w:rsidR="00AA3A5F" w:rsidRPr="00B25A22" w:rsidRDefault="00AA3A5F" w:rsidP="007A68D5">
            <w:pPr>
              <w:jc w:val="right"/>
              <w:rPr>
                <w:rFonts w:cs="Times New Roman"/>
                <w:color w:val="000000"/>
                <w:sz w:val="20"/>
                <w:szCs w:val="20"/>
                <w:lang w:val="cs-CZ"/>
              </w:rPr>
            </w:pPr>
          </w:p>
        </w:tc>
        <w:tc>
          <w:tcPr>
            <w:tcW w:w="1735" w:type="pct"/>
            <w:shd w:val="clear" w:color="auto" w:fill="auto"/>
            <w:vAlign w:val="bottom"/>
            <w:hideMark/>
          </w:tcPr>
          <w:p w14:paraId="696BECC1"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známka neudělena nebo odebrána</w:t>
            </w:r>
          </w:p>
        </w:tc>
        <w:tc>
          <w:tcPr>
            <w:tcW w:w="739" w:type="pct"/>
            <w:shd w:val="clear" w:color="auto" w:fill="auto"/>
            <w:noWrap/>
            <w:vAlign w:val="bottom"/>
            <w:hideMark/>
          </w:tcPr>
          <w:p w14:paraId="6C66A864"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63</w:t>
            </w:r>
          </w:p>
        </w:tc>
        <w:tc>
          <w:tcPr>
            <w:tcW w:w="1986" w:type="pct"/>
            <w:shd w:val="clear" w:color="auto" w:fill="auto"/>
            <w:noWrap/>
            <w:vAlign w:val="bottom"/>
            <w:hideMark/>
          </w:tcPr>
          <w:p w14:paraId="3956F3F9"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815</w:t>
            </w:r>
          </w:p>
        </w:tc>
      </w:tr>
      <w:tr w:rsidR="00AA3A5F" w:rsidRPr="00B25A22" w14:paraId="71D20718" w14:textId="77777777" w:rsidTr="007A68D5">
        <w:trPr>
          <w:trHeight w:val="396"/>
        </w:trPr>
        <w:tc>
          <w:tcPr>
            <w:tcW w:w="541" w:type="pct"/>
            <w:shd w:val="clear" w:color="auto" w:fill="auto"/>
            <w:noWrap/>
            <w:vAlign w:val="bottom"/>
            <w:hideMark/>
          </w:tcPr>
          <w:p w14:paraId="7033D98F" w14:textId="77777777" w:rsidR="00AA3A5F" w:rsidRPr="00B25A22" w:rsidRDefault="00AA3A5F" w:rsidP="007A68D5">
            <w:pPr>
              <w:jc w:val="right"/>
              <w:rPr>
                <w:rFonts w:cs="Times New Roman"/>
                <w:color w:val="000000"/>
                <w:sz w:val="20"/>
                <w:szCs w:val="20"/>
                <w:lang w:val="cs-CZ"/>
              </w:rPr>
            </w:pPr>
          </w:p>
        </w:tc>
        <w:tc>
          <w:tcPr>
            <w:tcW w:w="1735" w:type="pct"/>
            <w:shd w:val="clear" w:color="auto" w:fill="auto"/>
            <w:vAlign w:val="bottom"/>
            <w:hideMark/>
          </w:tcPr>
          <w:p w14:paraId="102E293B"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 xml:space="preserve"> ve tříletém předchozím období</w:t>
            </w:r>
          </w:p>
        </w:tc>
        <w:tc>
          <w:tcPr>
            <w:tcW w:w="739" w:type="pct"/>
            <w:shd w:val="clear" w:color="auto" w:fill="auto"/>
            <w:noWrap/>
            <w:vAlign w:val="bottom"/>
            <w:hideMark/>
          </w:tcPr>
          <w:p w14:paraId="55F06DA9"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52</w:t>
            </w:r>
          </w:p>
        </w:tc>
        <w:tc>
          <w:tcPr>
            <w:tcW w:w="1986" w:type="pct"/>
            <w:shd w:val="clear" w:color="auto" w:fill="auto"/>
            <w:noWrap/>
            <w:vAlign w:val="bottom"/>
            <w:hideMark/>
          </w:tcPr>
          <w:p w14:paraId="03ABD333"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418</w:t>
            </w:r>
          </w:p>
        </w:tc>
      </w:tr>
      <w:tr w:rsidR="00AA3A5F" w:rsidRPr="00B25A22" w14:paraId="19749F3C" w14:textId="77777777" w:rsidTr="007A68D5">
        <w:trPr>
          <w:trHeight w:val="300"/>
        </w:trPr>
        <w:tc>
          <w:tcPr>
            <w:tcW w:w="541" w:type="pct"/>
            <w:shd w:val="clear" w:color="auto" w:fill="auto"/>
            <w:noWrap/>
            <w:vAlign w:val="bottom"/>
            <w:hideMark/>
          </w:tcPr>
          <w:p w14:paraId="21670D12" w14:textId="77777777" w:rsidR="00AA3A5F" w:rsidRPr="00B25A22" w:rsidRDefault="00AA3A5F" w:rsidP="007A68D5">
            <w:pPr>
              <w:jc w:val="right"/>
              <w:rPr>
                <w:rFonts w:cs="Times New Roman"/>
                <w:color w:val="000000"/>
                <w:sz w:val="20"/>
                <w:szCs w:val="20"/>
                <w:lang w:val="cs-CZ"/>
              </w:rPr>
            </w:pPr>
          </w:p>
        </w:tc>
        <w:tc>
          <w:tcPr>
            <w:tcW w:w="1735" w:type="pct"/>
            <w:shd w:val="clear" w:color="auto" w:fill="auto"/>
            <w:noWrap/>
            <w:vAlign w:val="bottom"/>
            <w:hideMark/>
          </w:tcPr>
          <w:p w14:paraId="096D2E01" w14:textId="77777777" w:rsidR="00AA3A5F" w:rsidRPr="00B25A22" w:rsidRDefault="00AA3A5F" w:rsidP="007A68D5">
            <w:pPr>
              <w:jc w:val="left"/>
              <w:rPr>
                <w:rFonts w:cs="Times New Roman"/>
                <w:color w:val="000000"/>
                <w:sz w:val="20"/>
                <w:szCs w:val="20"/>
                <w:lang w:val="cs-CZ"/>
              </w:rPr>
            </w:pPr>
            <w:r w:rsidRPr="00B25A22">
              <w:rPr>
                <w:rFonts w:cs="Times New Roman"/>
                <w:color w:val="000000"/>
                <w:sz w:val="20"/>
                <w:szCs w:val="20"/>
                <w:lang w:val="cs-CZ"/>
              </w:rPr>
              <w:t>bez výsadeb</w:t>
            </w:r>
          </w:p>
        </w:tc>
        <w:tc>
          <w:tcPr>
            <w:tcW w:w="739" w:type="pct"/>
            <w:shd w:val="clear" w:color="auto" w:fill="auto"/>
            <w:noWrap/>
            <w:vAlign w:val="bottom"/>
            <w:hideMark/>
          </w:tcPr>
          <w:p w14:paraId="3C8A9443" w14:textId="77777777" w:rsidR="00AA3A5F" w:rsidRPr="00B25A22" w:rsidRDefault="00AA3A5F" w:rsidP="007A68D5">
            <w:pPr>
              <w:jc w:val="right"/>
              <w:rPr>
                <w:rFonts w:cs="Times New Roman"/>
                <w:color w:val="000000"/>
                <w:sz w:val="20"/>
                <w:szCs w:val="20"/>
                <w:lang w:val="cs-CZ"/>
              </w:rPr>
            </w:pPr>
            <w:r w:rsidRPr="00B25A22">
              <w:rPr>
                <w:rFonts w:cs="Times New Roman"/>
                <w:color w:val="000000"/>
                <w:sz w:val="20"/>
                <w:szCs w:val="20"/>
                <w:lang w:val="cs-CZ"/>
              </w:rPr>
              <w:t>6</w:t>
            </w:r>
          </w:p>
        </w:tc>
        <w:tc>
          <w:tcPr>
            <w:tcW w:w="1986" w:type="pct"/>
            <w:shd w:val="clear" w:color="auto" w:fill="auto"/>
            <w:noWrap/>
            <w:vAlign w:val="bottom"/>
            <w:hideMark/>
          </w:tcPr>
          <w:p w14:paraId="2B669526" w14:textId="77777777" w:rsidR="00AA3A5F" w:rsidRPr="00B25A22" w:rsidRDefault="00AA3A5F" w:rsidP="007A68D5">
            <w:pPr>
              <w:jc w:val="right"/>
              <w:rPr>
                <w:rFonts w:cs="Times New Roman"/>
                <w:color w:val="000000"/>
                <w:sz w:val="20"/>
                <w:szCs w:val="20"/>
                <w:lang w:val="cs-CZ"/>
              </w:rPr>
            </w:pPr>
          </w:p>
        </w:tc>
      </w:tr>
    </w:tbl>
    <w:p w14:paraId="2A0D7EC4" w14:textId="77777777" w:rsidR="00AA3A5F" w:rsidRPr="00B25A22" w:rsidRDefault="00AA3A5F" w:rsidP="00F86256">
      <w:pPr>
        <w:pStyle w:val="UZEIZdroj"/>
      </w:pPr>
      <w:r w:rsidRPr="00B25A22">
        <w:t>Pramen: Ovocnářská unie</w:t>
      </w:r>
    </w:p>
    <w:p w14:paraId="62C4E0FE" w14:textId="77777777" w:rsidR="00AA3A5F" w:rsidRPr="00F86256" w:rsidRDefault="00AA3A5F" w:rsidP="00F86256">
      <w:pPr>
        <w:pStyle w:val="UZEINormaln"/>
        <w:rPr>
          <w:rFonts w:eastAsia="Calibri"/>
          <w:b/>
          <w:bCs/>
        </w:rPr>
      </w:pPr>
      <w:r w:rsidRPr="00F86256">
        <w:rPr>
          <w:rFonts w:eastAsia="Calibri"/>
          <w:b/>
          <w:bCs/>
        </w:rPr>
        <w:t>Bioprodukce</w:t>
      </w:r>
    </w:p>
    <w:p w14:paraId="35F86E87" w14:textId="77777777" w:rsidR="00AA3A5F" w:rsidRPr="00B25A22" w:rsidRDefault="00AA3A5F" w:rsidP="00F86256">
      <w:pPr>
        <w:pStyle w:val="UZEINormaln"/>
        <w:rPr>
          <w:rFonts w:eastAsia="Calibri"/>
        </w:rPr>
      </w:pPr>
      <w:r w:rsidRPr="00B25A22">
        <w:rPr>
          <w:rFonts w:eastAsia="Calibri"/>
        </w:rPr>
        <w:t xml:space="preserve">Od 1. července 2012 (po skončení dvouletého přechodného období) platí nová pravidla pro označování biopotravin (Prováděcí nařízení Komise 505/2012/EU). Etikety na biopotravinách ze zemí EU musí být povinně označeny jednotným unijním logem v podobě lístku ze 12 unijních hvězdiček. U tohoto loga musí být uveden kód země, kde biopotravina prošla závěrečnou kontrolou – v případě ČR je to CZ. Za kódem státu je zkratka BIO nebo EKO, </w:t>
      </w:r>
      <w:r w:rsidRPr="00B25A22">
        <w:rPr>
          <w:rFonts w:eastAsia="Calibri"/>
        </w:rPr>
        <w:lastRenderedPageBreak/>
        <w:t>případně ORG či ÖKO, odkazující na ekologický způsob produkce podle zažité praxe v různých zemích. Kód je uzavřen třímístným číslem kontrolní organizace pověřené v daném státě dozorem nad bioprodukcí. Použití evropského biologa však není exkluzivní, a tudíž národní značky zůstávají v platnosti a mohou být použity jako označení vedle evropského biologa.</w:t>
      </w:r>
    </w:p>
    <w:p w14:paraId="16B50D5C" w14:textId="77777777" w:rsidR="00AA3A5F" w:rsidRPr="00B25A22" w:rsidRDefault="00AA3A5F" w:rsidP="00F86256">
      <w:pPr>
        <w:pStyle w:val="UZEINormaln"/>
        <w:rPr>
          <w:rFonts w:eastAsia="Calibri"/>
        </w:rPr>
      </w:pPr>
      <w:r w:rsidRPr="00B25A22">
        <w:rPr>
          <w:rFonts w:eastAsia="Calibri"/>
        </w:rPr>
        <w:t xml:space="preserve">Národní logo značení pro produkty ekologického zemědělství tzv. </w:t>
      </w:r>
      <w:proofErr w:type="spellStart"/>
      <w:r w:rsidRPr="00B25A22">
        <w:rPr>
          <w:rFonts w:eastAsia="Calibri"/>
        </w:rPr>
        <w:t>Biozebra</w:t>
      </w:r>
      <w:proofErr w:type="spellEnd"/>
      <w:r w:rsidRPr="00B25A22">
        <w:rPr>
          <w:rFonts w:eastAsia="Calibri"/>
        </w:rPr>
        <w:t xml:space="preserve"> se používá jako ochranná známka pro bioprodukty vyrobené v ČR. Logo je možné použít pouze v souladu s ustanovením zákona č. 242/2000 Sb., o ekologickém zemědělství, ve znění pozdějších předpisů, a vyhlášky č. 16/2006 Sb., ze dne 6. ledna 2006, kterou se provádějí některá ustanovení zákona o ekologickém zemědělství. </w:t>
      </w:r>
    </w:p>
    <w:p w14:paraId="3ACE2D82" w14:textId="77777777" w:rsidR="00AA3A5F" w:rsidRPr="00B25A22" w:rsidRDefault="00AA3A5F" w:rsidP="00F86256">
      <w:pPr>
        <w:pStyle w:val="UZEINormaln"/>
        <w:rPr>
          <w:rFonts w:eastAsia="Calibri"/>
        </w:rPr>
      </w:pPr>
      <w:r w:rsidRPr="00B25A22">
        <w:rPr>
          <w:rFonts w:eastAsia="Calibri"/>
        </w:rPr>
        <w:t>V ČR bylo jako výrobce biopotravin ke konci roku 2017 registrováno 672 subjektů. K nejčastěji provozovaným hlavním činnostem patřily v roce 2017, obdobně jako v minulých letech „Výroba ostatních potravinářských výrobků“, dále „Zpracování a konzervování masa a výroba masných výrobků“, „Zpracování a konzervování ovoce a zeleniny“, „Výroba mléčných výrobků“ a „Výroba nápojů“.</w:t>
      </w:r>
    </w:p>
    <w:p w14:paraId="12B498B7" w14:textId="77777777" w:rsidR="00AA3A5F" w:rsidRPr="00B25A22" w:rsidRDefault="00AA3A5F" w:rsidP="00F86256">
      <w:pPr>
        <w:pStyle w:val="UZEINormaln"/>
      </w:pPr>
      <w:r w:rsidRPr="00B25A22">
        <w:rPr>
          <w:rFonts w:eastAsia="Calibri"/>
        </w:rPr>
        <w:t xml:space="preserve"> Celkový obrat s biopotravinami českých subjektů včetně vývozu dosáhl v roce 2017 přibližně 5,7 mld. Kč. Z toho celková spotřeba biopotravin (včetně dovozu) v ČR činila 3,33 mld. Kč a vývoz biopotravin vzrostl na cca 2,37 mld. Kč. Průměrná roční spotřeba na obyvatele činila 314 Kč a podíl biopotravin na celkové spotřebě potravin a nápojů byl na úrovni 1,17 %</w:t>
      </w:r>
      <w:r w:rsidRPr="00B25A22">
        <w:rPr>
          <w:rStyle w:val="Znakapoznpodarou"/>
          <w:rFonts w:eastAsia="Calibri"/>
        </w:rPr>
        <w:footnoteReference w:id="30"/>
      </w:r>
      <w:r w:rsidRPr="00B25A22">
        <w:rPr>
          <w:rFonts w:eastAsia="Calibri"/>
        </w:rPr>
        <w:t xml:space="preserve">. </w:t>
      </w:r>
    </w:p>
    <w:p w14:paraId="761A8621" w14:textId="53892BD6" w:rsidR="00AA3A5F" w:rsidRPr="00FD6F12" w:rsidRDefault="00F86256" w:rsidP="00FD6F12">
      <w:pPr>
        <w:spacing w:after="160" w:line="259" w:lineRule="auto"/>
        <w:jc w:val="left"/>
        <w:rPr>
          <w:rFonts w:eastAsia="Calibri" w:cstheme="minorHAnsi"/>
          <w:sz w:val="16"/>
          <w:szCs w:val="16"/>
          <w:lang w:val="cs-CZ" w:eastAsia="cs-CZ"/>
        </w:rPr>
      </w:pPr>
      <w:r w:rsidRPr="000703B9">
        <w:rPr>
          <w:rFonts w:eastAsia="Calibri"/>
          <w:sz w:val="16"/>
          <w:szCs w:val="16"/>
          <w:lang w:val="cs-CZ"/>
        </w:rPr>
        <w:br w:type="page"/>
      </w:r>
    </w:p>
    <w:p w14:paraId="73BFA024" w14:textId="4B00ABA1" w:rsidR="00AA3A5F" w:rsidRPr="00FD6F12" w:rsidRDefault="00AA3A5F" w:rsidP="00AA3A5F">
      <w:pPr>
        <w:pStyle w:val="Nadpis1"/>
      </w:pPr>
      <w:bookmarkStart w:id="75" w:name="_Toc12598432"/>
      <w:bookmarkStart w:id="76" w:name="_Toc80969615"/>
      <w:bookmarkStart w:id="77" w:name="_Toc81743388"/>
      <w:bookmarkStart w:id="78" w:name="_Toc81743835"/>
      <w:r w:rsidRPr="00FD6F12">
        <w:lastRenderedPageBreak/>
        <w:t>Detailnější posouzení vlivu předpisů</w:t>
      </w:r>
      <w:bookmarkEnd w:id="75"/>
      <w:bookmarkEnd w:id="76"/>
      <w:bookmarkEnd w:id="77"/>
      <w:bookmarkEnd w:id="78"/>
    </w:p>
    <w:p w14:paraId="196F7D6A" w14:textId="77777777" w:rsidR="00AA3A5F" w:rsidRPr="00B25A22" w:rsidRDefault="00AA3A5F" w:rsidP="00FD6F12">
      <w:pPr>
        <w:pStyle w:val="UZEINormaln"/>
        <w:rPr>
          <w:rFonts w:eastAsia="Calibri"/>
        </w:rPr>
      </w:pPr>
      <w:r w:rsidRPr="00B25A22">
        <w:rPr>
          <w:rFonts w:eastAsia="Calibri"/>
        </w:rPr>
        <w:t xml:space="preserve">Z hlediska dosažení specifického C lze za výrazný posun v návrhu „Nařízení“ ve srovnání se stávající podobou SZP považovat rozšíření odvětvových intervencí na nepovinné sektory. Možnost finanční podpory by mohla být motivací pro větší zapojení zemědělců a zpracovatelů do horizontální i vertikální spolupráce. Mimo stávající podoby návrhu „Nařízení“ by bylo žádoucí, aby oprávněným subjektem mohly být i vertikální (mezioborové) organizace. Tato varianta není v aktuálně platném Návrhu z 1. června 2018 ustavena, ale byla součástí navržené změny z listopadu stejného roku. Domníváme se, že tato varianta by značně rozšířila potenciál využití tohoto typu intervencí v ČR. Žádoucí se jeví např. spolupráce v režimech jakosti, které by vázaly účast českých zemědělců v konečném výrobku a přesvědčily spotřebitele o kvalitě výrobku a poskytly transparentní informace o výrobních standardech a nadstandardech. Samozřejmě i horizontální společné činnosti by přispěly k vyvažování koncentrace na úrovni zpracovatelů i maloobchodu. Spolupráce však nemusí nutně probíhat jen v oblasti odbytu. Některá odvětví (např. chmel) jeví potenciál spolupráce ve výzkumu odrůd, pěstebních metod apod. </w:t>
      </w:r>
    </w:p>
    <w:p w14:paraId="652B1A8E" w14:textId="3DD31DBE" w:rsidR="00AA3A5F" w:rsidRDefault="00AA3A5F" w:rsidP="00FD6F12">
      <w:pPr>
        <w:pStyle w:val="UZEINormaln"/>
        <w:rPr>
          <w:rFonts w:eastAsia="Calibri"/>
        </w:rPr>
      </w:pPr>
      <w:r w:rsidRPr="00B25A22">
        <w:rPr>
          <w:rFonts w:eastAsia="Calibri"/>
        </w:rPr>
        <w:t xml:space="preserve">Spolupráce v tvorbě a účasti v krátkých dodavatelských řetězcích se ukázala doposud jako málo využívaná, přesto však doporučujeme </w:t>
      </w:r>
      <w:r w:rsidR="00AC0D5E">
        <w:rPr>
          <w:rFonts w:eastAsia="Calibri"/>
        </w:rPr>
        <w:t xml:space="preserve">v nějaké formě </w:t>
      </w:r>
      <w:r w:rsidRPr="00B25A22">
        <w:rPr>
          <w:rFonts w:eastAsia="Calibri"/>
        </w:rPr>
        <w:t xml:space="preserve">zachovat </w:t>
      </w:r>
      <w:r w:rsidR="00AC0D5E">
        <w:rPr>
          <w:rFonts w:eastAsia="Calibri"/>
        </w:rPr>
        <w:t>podporu</w:t>
      </w:r>
      <w:r w:rsidRPr="00B25A22">
        <w:rPr>
          <w:rFonts w:eastAsia="Calibri"/>
        </w:rPr>
        <w:t xml:space="preserve">, neboť cílí na segment výrobců, kteří přispívají k diverzifikaci tržních cest.  </w:t>
      </w:r>
    </w:p>
    <w:p w14:paraId="685B8A63" w14:textId="606A7B1C" w:rsidR="00FD6F12" w:rsidRPr="00FD6F12" w:rsidRDefault="00FD6F12" w:rsidP="00FD6F12">
      <w:pPr>
        <w:spacing w:after="160" w:line="259" w:lineRule="auto"/>
        <w:jc w:val="left"/>
        <w:rPr>
          <w:rFonts w:eastAsia="Calibri" w:cstheme="minorHAnsi"/>
          <w:szCs w:val="24"/>
          <w:lang w:val="cs-CZ" w:eastAsia="cs-CZ"/>
        </w:rPr>
      </w:pPr>
      <w:r w:rsidRPr="000703B9">
        <w:rPr>
          <w:rFonts w:eastAsia="Calibri"/>
          <w:lang w:val="cs-CZ"/>
        </w:rPr>
        <w:br w:type="page"/>
      </w:r>
    </w:p>
    <w:p w14:paraId="41A6ABA1" w14:textId="77777777" w:rsidR="00AA3A5F" w:rsidRPr="00FD6F12" w:rsidRDefault="00AA3A5F" w:rsidP="00FD6F12">
      <w:pPr>
        <w:pStyle w:val="Nadpis1"/>
      </w:pPr>
      <w:bookmarkStart w:id="79" w:name="_Toc12598433"/>
      <w:bookmarkStart w:id="80" w:name="_Toc80969616"/>
      <w:bookmarkStart w:id="81" w:name="_Toc81743389"/>
      <w:bookmarkStart w:id="82" w:name="_Toc81743836"/>
      <w:r w:rsidRPr="00FD6F12">
        <w:lastRenderedPageBreak/>
        <w:t>Jak by se situace vyvíjela bez zavedení příslušných intervencí?</w:t>
      </w:r>
      <w:bookmarkEnd w:id="79"/>
      <w:bookmarkEnd w:id="80"/>
      <w:bookmarkEnd w:id="81"/>
      <w:bookmarkEnd w:id="82"/>
      <w:r w:rsidRPr="00FD6F12">
        <w:tab/>
      </w:r>
    </w:p>
    <w:p w14:paraId="32130480" w14:textId="77777777" w:rsidR="00AA3A5F" w:rsidRPr="00B25A22" w:rsidRDefault="00AA3A5F" w:rsidP="00530AD2">
      <w:pPr>
        <w:pStyle w:val="UZEINormaln"/>
        <w:rPr>
          <w:rFonts w:eastAsia="Calibri"/>
        </w:rPr>
      </w:pPr>
      <w:r w:rsidRPr="00B25A22">
        <w:rPr>
          <w:rFonts w:eastAsia="Calibri"/>
        </w:rPr>
        <w:t xml:space="preserve">Odpověď na tuto otázku by vyžadovala vyhodnocení na základě </w:t>
      </w:r>
      <w:proofErr w:type="spellStart"/>
      <w:r w:rsidRPr="00B25A22">
        <w:rPr>
          <w:rFonts w:eastAsia="Calibri"/>
        </w:rPr>
        <w:t>kontrafaktuální</w:t>
      </w:r>
      <w:proofErr w:type="spellEnd"/>
      <w:r w:rsidRPr="00B25A22">
        <w:rPr>
          <w:rFonts w:eastAsia="Calibri"/>
        </w:rPr>
        <w:t xml:space="preserve"> analýzy či modelového přístupu s vysokou mírou nejistoty vývoje proměnných. Modelování variant se očekává v pokročilejších fázích přípravy národního strategického plánu. </w:t>
      </w:r>
    </w:p>
    <w:p w14:paraId="1EA06124" w14:textId="77777777" w:rsidR="00AA3A5F" w:rsidRPr="00B25A22" w:rsidRDefault="00AA3A5F" w:rsidP="00530AD2">
      <w:pPr>
        <w:pStyle w:val="UZEINormaln"/>
        <w:rPr>
          <w:rFonts w:eastAsia="Calibri"/>
        </w:rPr>
      </w:pPr>
      <w:r w:rsidRPr="00B25A22">
        <w:rPr>
          <w:rFonts w:eastAsia="Calibri"/>
        </w:rPr>
        <w:t>Ve srovnání s přímými platbami (VCS) představují odvětvové intervence potenciál k nastartování změn vedoucích k podpoře efektivnosti. Na druhé straně, odvětvové intervence ustavují kolektivní závazky ve střednědobém horizontu (3 až 7 let), což snižuje aktuální manévrovací prostor pro individuální zemědělské podniky, zejména v době krizí. Proto bude vhodné zvážit, zda odvětví poskytnout komfort VCS či zda jej směrovat do větší smluvní vázanosti. Hlediskem při rozhodování by měla být např. četnost a závažnost krizí v odvětví Projekce VCS jsou provedeny v podkladové analýze pro cíl A „Podporovat příjmy a odolnost životaschopných zemědělských podniků v celé Unii za účelem posílení bezpečnosti potravin“.</w:t>
      </w:r>
    </w:p>
    <w:p w14:paraId="4951654C" w14:textId="3258D296" w:rsidR="00AA3A5F" w:rsidRPr="00B25A22" w:rsidRDefault="00530AD2" w:rsidP="00530AD2">
      <w:pPr>
        <w:spacing w:after="160" w:line="259" w:lineRule="auto"/>
        <w:jc w:val="left"/>
        <w:rPr>
          <w:rFonts w:eastAsia="Calibri" w:cs="Times New Roman"/>
          <w:sz w:val="22"/>
          <w:lang w:val="cs-CZ"/>
        </w:rPr>
      </w:pPr>
      <w:r>
        <w:rPr>
          <w:rFonts w:eastAsia="Calibri" w:cs="Times New Roman"/>
          <w:sz w:val="22"/>
          <w:lang w:val="cs-CZ"/>
        </w:rPr>
        <w:br w:type="page"/>
      </w:r>
    </w:p>
    <w:p w14:paraId="613EB48B" w14:textId="77777777" w:rsidR="00FC38C5" w:rsidRDefault="00AA3A5F" w:rsidP="00530AD2">
      <w:pPr>
        <w:pStyle w:val="Nadpis1"/>
      </w:pPr>
      <w:bookmarkStart w:id="83" w:name="_Toc81743837"/>
      <w:bookmarkStart w:id="84" w:name="_Toc12598434"/>
      <w:bookmarkStart w:id="85" w:name="_Toc80969617"/>
      <w:bookmarkStart w:id="86" w:name="_Toc81743390"/>
      <w:r w:rsidRPr="00530AD2">
        <w:lastRenderedPageBreak/>
        <w:t>SWOT analýza</w:t>
      </w:r>
      <w:bookmarkEnd w:id="83"/>
      <w:r w:rsidRPr="00530AD2">
        <w:t xml:space="preserve"> </w:t>
      </w:r>
    </w:p>
    <w:p w14:paraId="77B341DE" w14:textId="05C07B74" w:rsidR="00AA3A5F" w:rsidRPr="00530AD2" w:rsidRDefault="00FC38C5" w:rsidP="00FC38C5">
      <w:pPr>
        <w:pStyle w:val="UZEINormaln"/>
      </w:pPr>
      <w:r>
        <w:t>Ja</w:t>
      </w:r>
      <w:r w:rsidR="00AA3A5F" w:rsidRPr="00530AD2">
        <w:t>k si stojí jednotlivé důležité stránky sektoru vůči odpovídajícím cílům a jejich naplňování?</w:t>
      </w:r>
      <w:bookmarkEnd w:id="84"/>
      <w:bookmarkEnd w:id="85"/>
      <w:bookmarkEnd w:id="86"/>
    </w:p>
    <w:p w14:paraId="32F2E7B2" w14:textId="77777777" w:rsidR="00AA3A5F" w:rsidRPr="00B25A22" w:rsidRDefault="00AA3A5F" w:rsidP="00AA3A5F">
      <w:pPr>
        <w:rPr>
          <w:rFonts w:cs="Times New Roman"/>
          <w:lang w:val="cs-CZ"/>
        </w:rPr>
      </w:pPr>
    </w:p>
    <w:tbl>
      <w:tblPr>
        <w:tblStyle w:val="Mkatabulky"/>
        <w:tblW w:w="0" w:type="auto"/>
        <w:tblInd w:w="108" w:type="dxa"/>
        <w:tblLook w:val="04A0" w:firstRow="1" w:lastRow="0" w:firstColumn="1" w:lastColumn="0" w:noHBand="0" w:noVBand="1"/>
      </w:tblPr>
      <w:tblGrid>
        <w:gridCol w:w="4423"/>
        <w:gridCol w:w="4531"/>
      </w:tblGrid>
      <w:tr w:rsidR="00AA3A5F" w:rsidRPr="00982838" w14:paraId="6392CE90" w14:textId="77777777" w:rsidTr="007A68D5">
        <w:trPr>
          <w:trHeight w:val="150"/>
        </w:trPr>
        <w:tc>
          <w:tcPr>
            <w:tcW w:w="4423" w:type="dxa"/>
            <w:shd w:val="clear" w:color="auto" w:fill="92D050"/>
          </w:tcPr>
          <w:p w14:paraId="2BAF6FDB" w14:textId="77777777" w:rsidR="00AA3A5F" w:rsidRPr="00982838" w:rsidRDefault="00AA3A5F" w:rsidP="007A68D5">
            <w:pPr>
              <w:jc w:val="center"/>
              <w:rPr>
                <w:b/>
                <w:szCs w:val="24"/>
              </w:rPr>
            </w:pPr>
            <w:r w:rsidRPr="00982838">
              <w:rPr>
                <w:b/>
                <w:szCs w:val="24"/>
              </w:rPr>
              <w:t>Silné stránky</w:t>
            </w:r>
          </w:p>
        </w:tc>
        <w:tc>
          <w:tcPr>
            <w:tcW w:w="4531" w:type="dxa"/>
            <w:shd w:val="clear" w:color="auto" w:fill="92D050"/>
          </w:tcPr>
          <w:p w14:paraId="0462F662" w14:textId="77777777" w:rsidR="00AA3A5F" w:rsidRPr="00982838" w:rsidRDefault="00AA3A5F" w:rsidP="007A68D5">
            <w:pPr>
              <w:jc w:val="center"/>
              <w:rPr>
                <w:b/>
                <w:szCs w:val="24"/>
              </w:rPr>
            </w:pPr>
            <w:r w:rsidRPr="00982838">
              <w:rPr>
                <w:b/>
                <w:szCs w:val="24"/>
              </w:rPr>
              <w:t>Slabé stránky</w:t>
            </w:r>
          </w:p>
        </w:tc>
      </w:tr>
      <w:tr w:rsidR="00AA3A5F" w:rsidRPr="000703B9" w14:paraId="379D080D" w14:textId="77777777" w:rsidTr="00B770B4">
        <w:trPr>
          <w:trHeight w:val="3675"/>
        </w:trPr>
        <w:tc>
          <w:tcPr>
            <w:tcW w:w="4423" w:type="dxa"/>
          </w:tcPr>
          <w:p w14:paraId="120B56A9" w14:textId="34B9A5C2" w:rsidR="00AA3A5F" w:rsidRPr="00982838" w:rsidRDefault="005B7F62" w:rsidP="005B7F62">
            <w:pPr>
              <w:pStyle w:val="UZEIOdrky"/>
              <w:ind w:left="353" w:hanging="283"/>
            </w:pPr>
            <w:r w:rsidRPr="00982838">
              <w:t xml:space="preserve">S1:  </w:t>
            </w:r>
            <w:r w:rsidR="00AA3A5F" w:rsidRPr="00982838">
              <w:t>Fungující profesní svazy.</w:t>
            </w:r>
          </w:p>
          <w:p w14:paraId="58085DE5" w14:textId="3621DF54" w:rsidR="00AA3A5F" w:rsidRPr="00982838" w:rsidRDefault="005B7F62" w:rsidP="005B7F62">
            <w:pPr>
              <w:pStyle w:val="UZEIOdrky"/>
              <w:ind w:left="353" w:hanging="283"/>
            </w:pPr>
            <w:r w:rsidRPr="00982838">
              <w:t xml:space="preserve">S2: </w:t>
            </w:r>
            <w:r w:rsidR="00AA3A5F" w:rsidRPr="00982838">
              <w:t>Fungující organizace producentů v sektoru  ovoce a zelenina, též v sektoru mléko.</w:t>
            </w:r>
          </w:p>
          <w:p w14:paraId="5407057D" w14:textId="54CCFCE0" w:rsidR="00AA3A5F" w:rsidRPr="00982838" w:rsidRDefault="005B7F62" w:rsidP="005B7F62">
            <w:pPr>
              <w:pStyle w:val="UZEIOdrky"/>
              <w:ind w:left="353" w:hanging="283"/>
            </w:pPr>
            <w:r w:rsidRPr="00982838">
              <w:t xml:space="preserve">S3: </w:t>
            </w:r>
            <w:r w:rsidR="00AA3A5F" w:rsidRPr="00982838">
              <w:t>Velké zemědělské podniky jsou významnými regionálními partnery pro zpracovatele.</w:t>
            </w:r>
          </w:p>
          <w:p w14:paraId="2C6A6A72" w14:textId="7A63BAB6" w:rsidR="00AA3A5F" w:rsidRPr="00982838" w:rsidRDefault="005B7F62" w:rsidP="005B7F62">
            <w:pPr>
              <w:pStyle w:val="UZEIOdrky"/>
              <w:ind w:left="353" w:hanging="283"/>
            </w:pPr>
            <w:r w:rsidRPr="00982838">
              <w:t xml:space="preserve">S4: </w:t>
            </w:r>
            <w:r w:rsidR="00AA3A5F" w:rsidRPr="00982838">
              <w:t>Existující informační základna o vývoji produkce a cen v ČR a v EU.</w:t>
            </w:r>
          </w:p>
          <w:p w14:paraId="09826FAF" w14:textId="0F5D4A03" w:rsidR="00AA3A5F" w:rsidRPr="00982838" w:rsidRDefault="005B7F62" w:rsidP="005B7F62">
            <w:pPr>
              <w:pStyle w:val="UZEIOdrky"/>
              <w:ind w:left="353" w:hanging="283"/>
            </w:pPr>
            <w:r w:rsidRPr="00982838">
              <w:t xml:space="preserve">S5: </w:t>
            </w:r>
            <w:r w:rsidR="00AA3A5F" w:rsidRPr="00982838">
              <w:t>Dostatečná nabídka (převyšující poptávku) širokého sortimentu potravinářských výrobků na trhu.</w:t>
            </w:r>
          </w:p>
          <w:p w14:paraId="6C033F00" w14:textId="47BB876A" w:rsidR="00AA3A5F" w:rsidRPr="00982838" w:rsidRDefault="005B7F62" w:rsidP="005B7F62">
            <w:pPr>
              <w:pStyle w:val="UZEIOdrky"/>
              <w:ind w:left="353" w:hanging="283"/>
            </w:pPr>
            <w:r w:rsidRPr="00982838">
              <w:t xml:space="preserve">S6:  </w:t>
            </w:r>
            <w:r w:rsidR="00AA3A5F" w:rsidRPr="00982838">
              <w:t>Zkušenosti zpracovatelů se značkami kvality - národní (Klasa, regionální potravina aj.) i unijní (CHOP, CHZO, ZTS).</w:t>
            </w:r>
          </w:p>
          <w:p w14:paraId="5394C634" w14:textId="77777777" w:rsidR="00AA3A5F" w:rsidRPr="00982838" w:rsidRDefault="00AA3A5F" w:rsidP="005B7F62">
            <w:pPr>
              <w:pStyle w:val="UZEIOdrky"/>
              <w:numPr>
                <w:ilvl w:val="0"/>
                <w:numId w:val="0"/>
              </w:numPr>
              <w:ind w:left="720"/>
              <w:rPr>
                <w:b/>
                <w:i/>
              </w:rPr>
            </w:pPr>
          </w:p>
        </w:tc>
        <w:tc>
          <w:tcPr>
            <w:tcW w:w="4531" w:type="dxa"/>
          </w:tcPr>
          <w:p w14:paraId="0D84A59D" w14:textId="1F670899" w:rsidR="00AA3A5F" w:rsidRPr="00982838" w:rsidRDefault="005B7F62" w:rsidP="005B7F62">
            <w:pPr>
              <w:pStyle w:val="UZEIOdrky"/>
              <w:ind w:left="322" w:hanging="284"/>
            </w:pPr>
            <w:r w:rsidRPr="00982838">
              <w:t xml:space="preserve">W1: </w:t>
            </w:r>
            <w:r w:rsidR="00AA3A5F" w:rsidRPr="00982838">
              <w:t>Nízká míra sdružování prvovýrobců mimo odvětví ovoce a zelenina a mléko.</w:t>
            </w:r>
          </w:p>
          <w:p w14:paraId="34D24104" w14:textId="67C640D2" w:rsidR="00AA3A5F" w:rsidRPr="00982838" w:rsidRDefault="005B7F62" w:rsidP="005B7F62">
            <w:pPr>
              <w:pStyle w:val="UZEIOdrky"/>
              <w:ind w:left="322" w:hanging="284"/>
            </w:pPr>
            <w:r w:rsidRPr="00982838">
              <w:t xml:space="preserve">W2: </w:t>
            </w:r>
            <w:r w:rsidR="00AA3A5F" w:rsidRPr="00982838">
              <w:t>Absence vertikálních systémů kvality zapojujících prvovýrobce k prosazení výrobků u spotřebitelů.</w:t>
            </w:r>
          </w:p>
          <w:p w14:paraId="01150D26" w14:textId="670E9A8D" w:rsidR="00AA3A5F" w:rsidRPr="00982838" w:rsidRDefault="005B7F62" w:rsidP="005B7F62">
            <w:pPr>
              <w:pStyle w:val="UZEIOdrky"/>
              <w:ind w:left="322" w:hanging="284"/>
            </w:pPr>
            <w:r w:rsidRPr="00982838">
              <w:t xml:space="preserve">W3: </w:t>
            </w:r>
            <w:r w:rsidR="00AA3A5F" w:rsidRPr="00982838">
              <w:t xml:space="preserve">Rezervy výrobců ve využívání stávajícího (průkopnického) režimu kvality v odvětví mléka (mléko Q), který má potenciál propojit vertikálu i propagaci směřující ke  spotřebiteli. </w:t>
            </w:r>
          </w:p>
          <w:p w14:paraId="1FA6245A" w14:textId="46ED0A5F" w:rsidR="00AA3A5F" w:rsidRPr="00982838" w:rsidRDefault="005B7F62" w:rsidP="005B7F62">
            <w:pPr>
              <w:pStyle w:val="UZEIOdrky"/>
              <w:ind w:left="322" w:hanging="284"/>
            </w:pPr>
            <w:r w:rsidRPr="00982838">
              <w:t xml:space="preserve">W4: </w:t>
            </w:r>
            <w:r w:rsidR="00AA3A5F" w:rsidRPr="00982838">
              <w:t>Malé povědomí spotřebitelů o existenci a obsahu režimů jakosti EU, ale i ČR (státem uznaným značkám konkuruje velké množství privátních značek, jejichž význam spotřebitelé často neznají a jsou netransparentní).</w:t>
            </w:r>
          </w:p>
          <w:p w14:paraId="43CD575B" w14:textId="77777777" w:rsidR="00AA3A5F" w:rsidRPr="00982838" w:rsidRDefault="00AA3A5F" w:rsidP="005B7F62">
            <w:pPr>
              <w:pStyle w:val="UZEIOdrky"/>
              <w:numPr>
                <w:ilvl w:val="0"/>
                <w:numId w:val="0"/>
              </w:numPr>
              <w:ind w:left="720"/>
            </w:pPr>
          </w:p>
        </w:tc>
      </w:tr>
      <w:tr w:rsidR="00AA3A5F" w:rsidRPr="00982838" w14:paraId="70CCEB42" w14:textId="77777777" w:rsidTr="005B7F62">
        <w:trPr>
          <w:trHeight w:val="71"/>
        </w:trPr>
        <w:tc>
          <w:tcPr>
            <w:tcW w:w="4423" w:type="dxa"/>
            <w:shd w:val="clear" w:color="auto" w:fill="92D050"/>
          </w:tcPr>
          <w:p w14:paraId="1E4AAF8B" w14:textId="77777777" w:rsidR="00AA3A5F" w:rsidRPr="00982838" w:rsidRDefault="00AA3A5F" w:rsidP="007A68D5">
            <w:pPr>
              <w:jc w:val="center"/>
              <w:rPr>
                <w:b/>
                <w:szCs w:val="24"/>
              </w:rPr>
            </w:pPr>
            <w:r w:rsidRPr="00982838">
              <w:rPr>
                <w:b/>
                <w:szCs w:val="24"/>
              </w:rPr>
              <w:t>Příležitosti</w:t>
            </w:r>
          </w:p>
        </w:tc>
        <w:tc>
          <w:tcPr>
            <w:tcW w:w="4531" w:type="dxa"/>
            <w:shd w:val="clear" w:color="auto" w:fill="92D050"/>
          </w:tcPr>
          <w:p w14:paraId="323D32A6" w14:textId="77777777" w:rsidR="00AA3A5F" w:rsidRPr="00982838" w:rsidRDefault="00AA3A5F" w:rsidP="007A68D5">
            <w:pPr>
              <w:jc w:val="center"/>
              <w:rPr>
                <w:b/>
                <w:szCs w:val="24"/>
              </w:rPr>
            </w:pPr>
            <w:r w:rsidRPr="00982838">
              <w:rPr>
                <w:b/>
                <w:szCs w:val="24"/>
              </w:rPr>
              <w:t>Rizika</w:t>
            </w:r>
          </w:p>
        </w:tc>
      </w:tr>
      <w:tr w:rsidR="00AA3A5F" w:rsidRPr="000703B9" w14:paraId="143C5D14" w14:textId="77777777" w:rsidTr="007A68D5">
        <w:tc>
          <w:tcPr>
            <w:tcW w:w="4423" w:type="dxa"/>
          </w:tcPr>
          <w:p w14:paraId="006A44D5" w14:textId="4F20299A" w:rsidR="00AA3A5F" w:rsidRPr="00982838" w:rsidRDefault="005B7F62" w:rsidP="005B7F62">
            <w:pPr>
              <w:pStyle w:val="UZEIOdrky"/>
              <w:ind w:left="353" w:hanging="283"/>
            </w:pPr>
            <w:r w:rsidRPr="00982838">
              <w:t xml:space="preserve">O1: </w:t>
            </w:r>
            <w:r w:rsidR="00AA3A5F" w:rsidRPr="00982838">
              <w:t>Budování vertikálních systémů kvality.</w:t>
            </w:r>
          </w:p>
          <w:p w14:paraId="07DF4A9E" w14:textId="0DD6F9DC" w:rsidR="00AA3A5F" w:rsidRPr="00982838" w:rsidRDefault="005B7F62" w:rsidP="005B7F62">
            <w:pPr>
              <w:pStyle w:val="UZEIOdrky"/>
              <w:ind w:left="353" w:hanging="283"/>
            </w:pPr>
            <w:r w:rsidRPr="00982838">
              <w:t xml:space="preserve">O2: </w:t>
            </w:r>
            <w:r w:rsidR="00AA3A5F" w:rsidRPr="00982838">
              <w:t>Přetrvávající neochota a nedůvěra zemědělských podnikatelů a výrobců potravin ke spolupráci a vytváření společných projektů.</w:t>
            </w:r>
          </w:p>
          <w:p w14:paraId="1C3E3B76" w14:textId="15EE8DAB" w:rsidR="00AA3A5F" w:rsidRPr="00982838" w:rsidRDefault="005B7F62" w:rsidP="005B7F62">
            <w:pPr>
              <w:pStyle w:val="UZEIOdrky"/>
              <w:ind w:left="353" w:hanging="283"/>
            </w:pPr>
            <w:r w:rsidRPr="00982838">
              <w:t xml:space="preserve">O3: </w:t>
            </w:r>
            <w:r w:rsidR="00AA3A5F" w:rsidRPr="00982838">
              <w:t>Segment spotřebitelů se zájmem                                    o nadstandardní kvalitu výrobků.</w:t>
            </w:r>
          </w:p>
          <w:p w14:paraId="1A7BD55B" w14:textId="1C58C55D" w:rsidR="00AA3A5F" w:rsidRPr="00982838" w:rsidRDefault="005B7F62" w:rsidP="005B7F62">
            <w:pPr>
              <w:pStyle w:val="UZEIOdrky"/>
              <w:ind w:left="353" w:hanging="283"/>
            </w:pPr>
            <w:r w:rsidRPr="00982838">
              <w:t xml:space="preserve">O4: </w:t>
            </w:r>
            <w:r w:rsidR="00AA3A5F" w:rsidRPr="00982838">
              <w:t>Edukace spotřebitele o kvalitě výrobků,                     o pozitivních externalitách preference domácích výrobků.</w:t>
            </w:r>
          </w:p>
          <w:p w14:paraId="1BB4B7B9" w14:textId="2FC571E4" w:rsidR="00AA3A5F" w:rsidRPr="00982838" w:rsidRDefault="005B7F62" w:rsidP="005B7F62">
            <w:pPr>
              <w:pStyle w:val="UZEIOdrky"/>
              <w:ind w:left="353" w:hanging="283"/>
            </w:pPr>
            <w:r w:rsidRPr="00982838">
              <w:t xml:space="preserve">O5: </w:t>
            </w:r>
            <w:r w:rsidR="00AA3A5F" w:rsidRPr="00982838">
              <w:t xml:space="preserve">Investice zemědělců do zpracování a prodeje. </w:t>
            </w:r>
          </w:p>
          <w:p w14:paraId="7EF9041D" w14:textId="60121586" w:rsidR="00AA3A5F" w:rsidRPr="00982838" w:rsidRDefault="005B7F62" w:rsidP="005B7F62">
            <w:pPr>
              <w:pStyle w:val="UZEIOdrky"/>
              <w:ind w:left="353" w:hanging="283"/>
            </w:pPr>
            <w:r w:rsidRPr="00982838">
              <w:t xml:space="preserve">O6: </w:t>
            </w:r>
            <w:r w:rsidR="00AA3A5F" w:rsidRPr="00982838">
              <w:t>Potenciál informačních technologií usnadňujících přímý prodej ze zemědělského podniku.</w:t>
            </w:r>
          </w:p>
          <w:p w14:paraId="321FD52B" w14:textId="0A02D4E8" w:rsidR="00AA3A5F" w:rsidRPr="00982838" w:rsidRDefault="005B7F62" w:rsidP="005B7F62">
            <w:pPr>
              <w:pStyle w:val="UZEIOdrky"/>
              <w:ind w:left="353" w:hanging="283"/>
            </w:pPr>
            <w:r w:rsidRPr="00982838">
              <w:t xml:space="preserve">O7: </w:t>
            </w:r>
            <w:r w:rsidR="00AA3A5F" w:rsidRPr="00982838">
              <w:t>Rozvoj krátkých dodavatelských řetězců jak tzv. fyzickým prodejem, tak pomocí digitálních platforem.</w:t>
            </w:r>
          </w:p>
          <w:p w14:paraId="0A41A1D3" w14:textId="7EC5B626" w:rsidR="00AA3A5F" w:rsidRPr="00982838" w:rsidRDefault="005B7F62" w:rsidP="005B7F62">
            <w:pPr>
              <w:pStyle w:val="UZEIOdrky"/>
              <w:ind w:left="353" w:hanging="283"/>
            </w:pPr>
            <w:r w:rsidRPr="00982838">
              <w:t xml:space="preserve">O8: </w:t>
            </w:r>
            <w:r w:rsidR="00AA3A5F" w:rsidRPr="00982838">
              <w:t>Využití agroturistiky a propagace regionů v rámci jiných resortů (MMR).</w:t>
            </w:r>
          </w:p>
          <w:p w14:paraId="12E9CEE8" w14:textId="21E70EBE" w:rsidR="00AA3A5F" w:rsidRPr="00982838" w:rsidRDefault="005B7F62" w:rsidP="005B7F62">
            <w:pPr>
              <w:pStyle w:val="UZEIOdrky"/>
              <w:ind w:left="353" w:hanging="283"/>
              <w:rPr>
                <w:b/>
                <w:i/>
              </w:rPr>
            </w:pPr>
            <w:r w:rsidRPr="00982838">
              <w:lastRenderedPageBreak/>
              <w:t xml:space="preserve">O9: </w:t>
            </w:r>
            <w:r w:rsidR="00AA3A5F" w:rsidRPr="00982838">
              <w:t>Poptávka zahraničních zpracovatelů po zemědělských produktech z ČR.</w:t>
            </w:r>
          </w:p>
          <w:p w14:paraId="2EB3570D" w14:textId="4169E09C" w:rsidR="00AA3A5F" w:rsidRPr="00982838" w:rsidRDefault="005B7F62" w:rsidP="005B7F62">
            <w:pPr>
              <w:pStyle w:val="UZEIOdrky"/>
              <w:ind w:left="353" w:hanging="283"/>
            </w:pPr>
            <w:r w:rsidRPr="00982838">
              <w:t xml:space="preserve">O10: </w:t>
            </w:r>
            <w:r w:rsidR="00AA3A5F" w:rsidRPr="00982838">
              <w:t>Dostupnost prodejní sítě - dostatečné pokrytí celého území ČR.</w:t>
            </w:r>
          </w:p>
          <w:p w14:paraId="311F4D1D" w14:textId="00505BA6" w:rsidR="00AA3A5F" w:rsidRPr="00982838" w:rsidRDefault="005B7F62" w:rsidP="005B7F62">
            <w:pPr>
              <w:pStyle w:val="UZEIOdrky"/>
              <w:ind w:left="353" w:hanging="283"/>
              <w:rPr>
                <w:b/>
                <w:i/>
              </w:rPr>
            </w:pPr>
            <w:r w:rsidRPr="00982838">
              <w:t xml:space="preserve">O11: </w:t>
            </w:r>
            <w:r w:rsidR="00AA3A5F" w:rsidRPr="00982838">
              <w:t>Segment spotřebitelů hledajících identitu potravinářských výrobků</w:t>
            </w:r>
            <w:r w:rsidR="00AA3A5F" w:rsidRPr="00982838">
              <w:rPr>
                <w:b/>
              </w:rPr>
              <w:t xml:space="preserve"> </w:t>
            </w:r>
          </w:p>
          <w:p w14:paraId="18DE1EA4" w14:textId="08D36EE1" w:rsidR="00AA3A5F" w:rsidRPr="00982838" w:rsidRDefault="005B7F62" w:rsidP="005B7F62">
            <w:pPr>
              <w:pStyle w:val="UZEIOdrky"/>
              <w:ind w:left="353" w:hanging="283"/>
            </w:pPr>
            <w:r w:rsidRPr="00982838">
              <w:t xml:space="preserve">O12: </w:t>
            </w:r>
            <w:r w:rsidR="00AA3A5F" w:rsidRPr="00982838">
              <w:t>Prostor pro nabídku lepšího zásobování potravinami především pro obyvatele malých obcí.</w:t>
            </w:r>
          </w:p>
          <w:p w14:paraId="1C4A2989" w14:textId="04493809" w:rsidR="00AA3A5F" w:rsidRPr="00982838" w:rsidRDefault="005B7F62" w:rsidP="005B7F62">
            <w:pPr>
              <w:pStyle w:val="UZEIOdrky"/>
              <w:ind w:left="353" w:hanging="283"/>
            </w:pPr>
            <w:r w:rsidRPr="00982838">
              <w:t xml:space="preserve">O13: </w:t>
            </w:r>
            <w:r w:rsidR="00AA3A5F" w:rsidRPr="00982838">
              <w:t>Rezervy v edukaci spotřebitelů o kvalitě potravin a o zásadách správného stravování.</w:t>
            </w:r>
          </w:p>
          <w:p w14:paraId="642829D6" w14:textId="77777777" w:rsidR="00AA3A5F" w:rsidRPr="00982838" w:rsidRDefault="00AA3A5F" w:rsidP="005B7F62">
            <w:pPr>
              <w:pStyle w:val="UZEIOdrky"/>
              <w:numPr>
                <w:ilvl w:val="0"/>
                <w:numId w:val="0"/>
              </w:numPr>
              <w:ind w:left="720"/>
            </w:pPr>
          </w:p>
        </w:tc>
        <w:tc>
          <w:tcPr>
            <w:tcW w:w="4531" w:type="dxa"/>
          </w:tcPr>
          <w:p w14:paraId="73D9D201" w14:textId="0B733DB6" w:rsidR="00AA3A5F" w:rsidRPr="00982838" w:rsidRDefault="005B7F62" w:rsidP="005B7F62">
            <w:pPr>
              <w:pStyle w:val="UZEIOdrky"/>
              <w:ind w:left="322" w:hanging="284"/>
            </w:pPr>
            <w:r w:rsidRPr="00982838">
              <w:lastRenderedPageBreak/>
              <w:t xml:space="preserve">T1: </w:t>
            </w:r>
            <w:r w:rsidR="00AA3A5F" w:rsidRPr="00982838">
              <w:t>Pokračující dominance obchodních řetězců v maloobchodním prodeji a jejich vliv na volbu dodavatele a podmínky prodeje.</w:t>
            </w:r>
          </w:p>
          <w:p w14:paraId="065A5359" w14:textId="487BE07A" w:rsidR="00AA3A5F" w:rsidRPr="00982838" w:rsidRDefault="005B7F62" w:rsidP="005B7F62">
            <w:pPr>
              <w:pStyle w:val="UZEIOdrky"/>
              <w:ind w:left="322" w:hanging="284"/>
            </w:pPr>
            <w:r w:rsidRPr="00982838">
              <w:t xml:space="preserve">T2: </w:t>
            </w:r>
            <w:r w:rsidR="00AA3A5F" w:rsidRPr="00982838">
              <w:t>Nerovnováha mezi vysokou mírou koncentrace maloobchodu a nízkou mírou koncentrace zpracovatelů.</w:t>
            </w:r>
          </w:p>
          <w:p w14:paraId="523C2EDC" w14:textId="219243E1" w:rsidR="00AA3A5F" w:rsidRPr="00982838" w:rsidRDefault="005B7F62" w:rsidP="005B7F62">
            <w:pPr>
              <w:pStyle w:val="UZEIOdrky"/>
              <w:ind w:left="322" w:hanging="284"/>
            </w:pPr>
            <w:r w:rsidRPr="00982838">
              <w:t xml:space="preserve">T3: </w:t>
            </w:r>
            <w:r w:rsidR="00AA3A5F" w:rsidRPr="00982838">
              <w:t>Vysoká hustota prodejní sítě obchodních řetězců na území ČR.</w:t>
            </w:r>
          </w:p>
          <w:p w14:paraId="69DE8A3B" w14:textId="3A17D5B2" w:rsidR="00AA3A5F" w:rsidRPr="00982838" w:rsidRDefault="005B7F62" w:rsidP="005B7F62">
            <w:pPr>
              <w:pStyle w:val="UZEIOdrky"/>
              <w:ind w:left="322" w:hanging="284"/>
            </w:pPr>
            <w:r w:rsidRPr="00982838">
              <w:t xml:space="preserve">T4: </w:t>
            </w:r>
            <w:r w:rsidR="00AA3A5F" w:rsidRPr="00982838">
              <w:t>Nejistota zemědělců, zda deklarovaný zájem spotřebitelů o výrobky nadstandardní kvality se potvrdí reálnými nákupy i v případě vyšší ceny výrobků.</w:t>
            </w:r>
          </w:p>
          <w:p w14:paraId="1969F13F" w14:textId="3F91B833" w:rsidR="00AA3A5F" w:rsidRPr="00982838" w:rsidRDefault="005B7F62" w:rsidP="005B7F62">
            <w:pPr>
              <w:pStyle w:val="UZEIOdrky"/>
              <w:ind w:left="322" w:hanging="284"/>
            </w:pPr>
            <w:r w:rsidRPr="00982838">
              <w:t xml:space="preserve">T5: </w:t>
            </w:r>
            <w:r w:rsidR="00AA3A5F" w:rsidRPr="00982838">
              <w:t xml:space="preserve">Značné množství značek kvality na trhu s potravinami s netransparentními nebo nízkými kritérii kvality. </w:t>
            </w:r>
          </w:p>
          <w:p w14:paraId="1058C260" w14:textId="1B0DCDAB" w:rsidR="00AA3A5F" w:rsidRPr="00982838" w:rsidRDefault="005B7F62" w:rsidP="005B7F62">
            <w:pPr>
              <w:pStyle w:val="UZEIOdrky"/>
              <w:ind w:left="322" w:hanging="284"/>
            </w:pPr>
            <w:r w:rsidRPr="00982838">
              <w:t xml:space="preserve">T6: </w:t>
            </w:r>
            <w:r w:rsidR="00AA3A5F" w:rsidRPr="00982838">
              <w:t>Možné posílení vlivu výrobců neorganizovaných v organizacích producentů jakožto alternativy  velkých odbytových organizací při uzavírání dodavatelsko- odběratelských smluv.</w:t>
            </w:r>
          </w:p>
          <w:p w14:paraId="3825911A" w14:textId="5D86BFF0" w:rsidR="00AA3A5F" w:rsidRPr="00982838" w:rsidRDefault="005B7F62" w:rsidP="005B7F62">
            <w:pPr>
              <w:pStyle w:val="UZEIOdrky"/>
              <w:ind w:left="322" w:hanging="284"/>
            </w:pPr>
            <w:r w:rsidRPr="00982838">
              <w:t xml:space="preserve">T7: </w:t>
            </w:r>
            <w:r w:rsidR="00AA3A5F" w:rsidRPr="00982838">
              <w:t xml:space="preserve">Vysoké počáteční náklady zemědělců na vybudování finalizační fáze výroby na </w:t>
            </w:r>
            <w:r w:rsidR="00AA3A5F" w:rsidRPr="00982838">
              <w:lastRenderedPageBreak/>
              <w:t>výrobky s přidanou hodnotou a na distribuci výrobků.</w:t>
            </w:r>
          </w:p>
        </w:tc>
      </w:tr>
    </w:tbl>
    <w:p w14:paraId="3ADB34C0" w14:textId="77777777" w:rsidR="00AA3A5F" w:rsidRPr="00B25A22" w:rsidRDefault="00AA3A5F" w:rsidP="00AA3A5F">
      <w:pPr>
        <w:spacing w:before="120"/>
        <w:jc w:val="left"/>
        <w:rPr>
          <w:rFonts w:cs="Times New Roman"/>
          <w:b/>
          <w:sz w:val="22"/>
          <w:lang w:val="cs-CZ"/>
        </w:rPr>
        <w:sectPr w:rsidR="00AA3A5F" w:rsidRPr="00B25A22" w:rsidSect="00FC38C5">
          <w:pgSz w:w="11906" w:h="16838"/>
          <w:pgMar w:top="1417" w:right="1417" w:bottom="1417" w:left="1417" w:header="708" w:footer="708" w:gutter="0"/>
          <w:cols w:space="708"/>
          <w:titlePg/>
          <w:docGrid w:linePitch="360"/>
        </w:sectPr>
      </w:pPr>
    </w:p>
    <w:p w14:paraId="06838085" w14:textId="0EEB8945" w:rsidR="00AA3A5F" w:rsidRPr="00B25A22" w:rsidRDefault="00AA3A5F" w:rsidP="00E57A20">
      <w:pPr>
        <w:pStyle w:val="UZEINadpis1stbezsla"/>
      </w:pPr>
      <w:bookmarkStart w:id="87" w:name="_Toc80969618"/>
      <w:bookmarkStart w:id="88" w:name="_Toc81743391"/>
      <w:bookmarkStart w:id="89" w:name="_Toc81743838"/>
      <w:r w:rsidRPr="00B25A22">
        <w:lastRenderedPageBreak/>
        <w:t>Reference</w:t>
      </w:r>
      <w:bookmarkEnd w:id="87"/>
      <w:bookmarkEnd w:id="88"/>
      <w:bookmarkEnd w:id="89"/>
    </w:p>
    <w:p w14:paraId="7DE62ED4" w14:textId="77777777" w:rsidR="00AA3A5F" w:rsidRPr="00982838" w:rsidRDefault="00AA3A5F" w:rsidP="001E17E8">
      <w:pPr>
        <w:pStyle w:val="UZEINormaln"/>
      </w:pPr>
      <w:proofErr w:type="spellStart"/>
      <w:r w:rsidRPr="00982838">
        <w:t>Abdulai</w:t>
      </w:r>
      <w:proofErr w:type="spellEnd"/>
      <w:r w:rsidRPr="00982838">
        <w:t>, A. (2002). “</w:t>
      </w:r>
      <w:proofErr w:type="spellStart"/>
      <w:r w:rsidRPr="00982838">
        <w:t>Using</w:t>
      </w:r>
      <w:proofErr w:type="spellEnd"/>
      <w:r w:rsidRPr="00982838">
        <w:t xml:space="preserve"> </w:t>
      </w:r>
      <w:proofErr w:type="spellStart"/>
      <w:r w:rsidRPr="00982838">
        <w:t>threshold</w:t>
      </w:r>
      <w:proofErr w:type="spellEnd"/>
      <w:r w:rsidRPr="00982838">
        <w:t xml:space="preserve"> co-</w:t>
      </w:r>
      <w:proofErr w:type="spellStart"/>
      <w:r w:rsidRPr="00982838">
        <w:t>integration</w:t>
      </w:r>
      <w:proofErr w:type="spellEnd"/>
      <w:r w:rsidRPr="00982838">
        <w:t xml:space="preserve"> to </w:t>
      </w:r>
      <w:proofErr w:type="spellStart"/>
      <w:r w:rsidRPr="00982838">
        <w:t>estimate</w:t>
      </w:r>
      <w:proofErr w:type="spellEnd"/>
      <w:r w:rsidRPr="00982838">
        <w:t xml:space="preserve"> </w:t>
      </w:r>
      <w:proofErr w:type="spellStart"/>
      <w:r w:rsidRPr="00982838">
        <w:t>asymmetric</w:t>
      </w:r>
      <w:proofErr w:type="spellEnd"/>
      <w:r w:rsidRPr="00982838">
        <w:t xml:space="preserve"> </w:t>
      </w:r>
      <w:proofErr w:type="spellStart"/>
      <w:r w:rsidRPr="00982838">
        <w:t>price</w:t>
      </w:r>
      <w:proofErr w:type="spellEnd"/>
      <w:r w:rsidRPr="00982838">
        <w:t xml:space="preserve"> </w:t>
      </w:r>
      <w:proofErr w:type="spellStart"/>
      <w:r w:rsidRPr="00982838">
        <w:t>transmission</w:t>
      </w:r>
      <w:proofErr w:type="spellEnd"/>
      <w:r w:rsidRPr="00982838">
        <w:t xml:space="preserve"> in </w:t>
      </w:r>
      <w:proofErr w:type="spellStart"/>
      <w:r w:rsidRPr="00982838">
        <w:t>the</w:t>
      </w:r>
      <w:proofErr w:type="spellEnd"/>
      <w:r w:rsidRPr="00982838">
        <w:t xml:space="preserve"> </w:t>
      </w:r>
      <w:proofErr w:type="spellStart"/>
      <w:r w:rsidRPr="00982838">
        <w:t>Swiss</w:t>
      </w:r>
      <w:proofErr w:type="spellEnd"/>
      <w:r w:rsidRPr="00982838">
        <w:t xml:space="preserve"> </w:t>
      </w:r>
      <w:proofErr w:type="spellStart"/>
      <w:r w:rsidRPr="00982838">
        <w:t>pork</w:t>
      </w:r>
      <w:proofErr w:type="spellEnd"/>
      <w:r w:rsidRPr="00982838">
        <w:t xml:space="preserve"> market” </w:t>
      </w:r>
      <w:proofErr w:type="spellStart"/>
      <w:r w:rsidRPr="00982838">
        <w:t>Applied</w:t>
      </w:r>
      <w:proofErr w:type="spellEnd"/>
      <w:r w:rsidRPr="00982838">
        <w:t xml:space="preserve"> </w:t>
      </w:r>
      <w:proofErr w:type="spellStart"/>
      <w:r w:rsidRPr="00982838">
        <w:t>Economics</w:t>
      </w:r>
      <w:proofErr w:type="spellEnd"/>
      <w:r w:rsidRPr="00982838">
        <w:t>, 34, 679-687.</w:t>
      </w:r>
    </w:p>
    <w:p w14:paraId="029F63EB" w14:textId="77777777" w:rsidR="00AA3A5F" w:rsidRPr="00982838" w:rsidRDefault="00AA3A5F" w:rsidP="001E17E8">
      <w:pPr>
        <w:pStyle w:val="UZEINormaln"/>
      </w:pPr>
      <w:r w:rsidRPr="00982838">
        <w:t xml:space="preserve">Abrahamová a kol.  (2012). Hodnocení Vnitrostátní strategie ČR pro udržitelné Operační programy organizací producentů sektoru ovoce a zeleniny (VS ČR) dle čl.127 Nařízení Komise (EU) č. 543/2011 - dle Metodického pokynu EK. </w:t>
      </w:r>
      <w:proofErr w:type="spellStart"/>
      <w:r w:rsidRPr="00982838">
        <w:t>Tématický</w:t>
      </w:r>
      <w:proofErr w:type="spellEnd"/>
      <w:r w:rsidRPr="00982838">
        <w:t xml:space="preserve"> úkol ÚZEI 47 (4437).</w:t>
      </w:r>
    </w:p>
    <w:p w14:paraId="37C8ED3D" w14:textId="77777777" w:rsidR="00AA3A5F" w:rsidRPr="00982838" w:rsidRDefault="00AA3A5F" w:rsidP="001E17E8">
      <w:pPr>
        <w:pStyle w:val="UZEINormaln"/>
      </w:pPr>
      <w:r w:rsidRPr="00982838">
        <w:t>Bauer, L., Lipovská, H. (2015). Matematika v ekonomii a matematice. Grada, Praha. ISBN 978-80-247-4419-3.</w:t>
      </w:r>
    </w:p>
    <w:p w14:paraId="3241FFDA" w14:textId="77777777" w:rsidR="00AA3A5F" w:rsidRPr="00982838" w:rsidRDefault="00AA3A5F" w:rsidP="001E17E8">
      <w:pPr>
        <w:pStyle w:val="UZEINormaln"/>
      </w:pPr>
      <w:proofErr w:type="spellStart"/>
      <w:r w:rsidRPr="00982838">
        <w:t>Blinder</w:t>
      </w:r>
      <w:proofErr w:type="spellEnd"/>
      <w:r w:rsidRPr="00982838">
        <w:t xml:space="preserve">, A. S., E. R. </w:t>
      </w:r>
      <w:proofErr w:type="spellStart"/>
      <w:r w:rsidRPr="00982838">
        <w:t>Canetti</w:t>
      </w:r>
      <w:proofErr w:type="spellEnd"/>
      <w:r w:rsidRPr="00982838">
        <w:t xml:space="preserve">, D. E. </w:t>
      </w:r>
      <w:proofErr w:type="spellStart"/>
      <w:r w:rsidRPr="00982838">
        <w:t>Lebow</w:t>
      </w:r>
      <w:proofErr w:type="spellEnd"/>
      <w:r w:rsidRPr="00982838">
        <w:t xml:space="preserve">, and J. B. </w:t>
      </w:r>
      <w:proofErr w:type="spellStart"/>
      <w:r w:rsidRPr="00982838">
        <w:t>Rudd</w:t>
      </w:r>
      <w:proofErr w:type="spellEnd"/>
      <w:r w:rsidRPr="00982838">
        <w:t xml:space="preserve">, (1998). </w:t>
      </w:r>
      <w:proofErr w:type="spellStart"/>
      <w:r w:rsidRPr="00982838">
        <w:t>Asking</w:t>
      </w:r>
      <w:proofErr w:type="spellEnd"/>
      <w:r w:rsidRPr="00982838">
        <w:t xml:space="preserve"> </w:t>
      </w:r>
      <w:proofErr w:type="spellStart"/>
      <w:r w:rsidRPr="00982838">
        <w:t>About</w:t>
      </w:r>
      <w:proofErr w:type="spellEnd"/>
      <w:r w:rsidRPr="00982838">
        <w:t xml:space="preserve"> </w:t>
      </w:r>
      <w:proofErr w:type="spellStart"/>
      <w:r w:rsidRPr="00982838">
        <w:t>Prices</w:t>
      </w:r>
      <w:proofErr w:type="spellEnd"/>
      <w:r w:rsidRPr="00982838">
        <w:t xml:space="preserve">: A New </w:t>
      </w:r>
      <w:proofErr w:type="spellStart"/>
      <w:r w:rsidRPr="00982838">
        <w:t>Approach</w:t>
      </w:r>
      <w:proofErr w:type="spellEnd"/>
      <w:r w:rsidRPr="00982838">
        <w:t xml:space="preserve"> to </w:t>
      </w:r>
      <w:proofErr w:type="spellStart"/>
      <w:r w:rsidRPr="00982838">
        <w:t>Understanding</w:t>
      </w:r>
      <w:proofErr w:type="spellEnd"/>
      <w:r w:rsidRPr="00982838">
        <w:t xml:space="preserve"> </w:t>
      </w:r>
      <w:proofErr w:type="spellStart"/>
      <w:r w:rsidRPr="00982838">
        <w:t>Price</w:t>
      </w:r>
      <w:proofErr w:type="spellEnd"/>
      <w:r w:rsidRPr="00982838">
        <w:t xml:space="preserve"> </w:t>
      </w:r>
      <w:proofErr w:type="spellStart"/>
      <w:r w:rsidRPr="00982838">
        <w:t>Stickiness</w:t>
      </w:r>
      <w:proofErr w:type="spellEnd"/>
      <w:r w:rsidRPr="00982838">
        <w:t xml:space="preserve">. New York: </w:t>
      </w:r>
      <w:proofErr w:type="spellStart"/>
      <w:r w:rsidRPr="00982838">
        <w:t>Sage</w:t>
      </w:r>
      <w:proofErr w:type="spellEnd"/>
      <w:r w:rsidRPr="00982838">
        <w:t xml:space="preserve"> </w:t>
      </w:r>
      <w:proofErr w:type="spellStart"/>
      <w:r w:rsidRPr="00982838">
        <w:t>Foundation</w:t>
      </w:r>
      <w:proofErr w:type="spellEnd"/>
      <w:r w:rsidRPr="00982838">
        <w:t>.</w:t>
      </w:r>
    </w:p>
    <w:p w14:paraId="29010BA3" w14:textId="77777777" w:rsidR="00AA3A5F" w:rsidRPr="00982838" w:rsidRDefault="00AA3A5F" w:rsidP="001E17E8">
      <w:pPr>
        <w:pStyle w:val="UZEINormaln"/>
      </w:pPr>
      <w:proofErr w:type="spellStart"/>
      <w:r w:rsidRPr="00982838">
        <w:t>Blinder</w:t>
      </w:r>
      <w:proofErr w:type="spellEnd"/>
      <w:r w:rsidRPr="00982838">
        <w:t xml:space="preserve">, A. S. (1994). “On </w:t>
      </w:r>
      <w:proofErr w:type="spellStart"/>
      <w:r w:rsidRPr="00982838">
        <w:t>Sticky</w:t>
      </w:r>
      <w:proofErr w:type="spellEnd"/>
      <w:r w:rsidRPr="00982838">
        <w:t xml:space="preserve"> </w:t>
      </w:r>
      <w:proofErr w:type="spellStart"/>
      <w:r w:rsidRPr="00982838">
        <w:t>Prices</w:t>
      </w:r>
      <w:proofErr w:type="spellEnd"/>
      <w:r w:rsidRPr="00982838">
        <w:t xml:space="preserve">: </w:t>
      </w:r>
      <w:proofErr w:type="spellStart"/>
      <w:r w:rsidRPr="00982838">
        <w:t>Academic</w:t>
      </w:r>
      <w:proofErr w:type="spellEnd"/>
      <w:r w:rsidRPr="00982838">
        <w:t xml:space="preserve"> </w:t>
      </w:r>
      <w:proofErr w:type="spellStart"/>
      <w:r w:rsidRPr="00982838">
        <w:t>Theories</w:t>
      </w:r>
      <w:proofErr w:type="spellEnd"/>
      <w:r w:rsidRPr="00982838">
        <w:t xml:space="preserve"> Meet </w:t>
      </w:r>
      <w:proofErr w:type="spellStart"/>
      <w:r w:rsidRPr="00982838">
        <w:t>the</w:t>
      </w:r>
      <w:proofErr w:type="spellEnd"/>
      <w:r w:rsidRPr="00982838">
        <w:t xml:space="preserve"> Real </w:t>
      </w:r>
      <w:proofErr w:type="spellStart"/>
      <w:r w:rsidRPr="00982838">
        <w:t>World</w:t>
      </w:r>
      <w:proofErr w:type="spellEnd"/>
      <w:r w:rsidRPr="00982838">
        <w:t xml:space="preserve">.” In </w:t>
      </w:r>
      <w:proofErr w:type="spellStart"/>
      <w:r w:rsidRPr="00982838">
        <w:t>Monetary</w:t>
      </w:r>
      <w:proofErr w:type="spellEnd"/>
      <w:r w:rsidRPr="00982838">
        <w:t xml:space="preserve"> </w:t>
      </w:r>
      <w:proofErr w:type="spellStart"/>
      <w:r w:rsidRPr="00982838">
        <w:t>Policy</w:t>
      </w:r>
      <w:proofErr w:type="spellEnd"/>
      <w:r w:rsidRPr="00982838">
        <w:t xml:space="preserve">, </w:t>
      </w:r>
      <w:proofErr w:type="spellStart"/>
      <w:r w:rsidRPr="00982838">
        <w:t>ed</w:t>
      </w:r>
      <w:proofErr w:type="spellEnd"/>
      <w:r w:rsidRPr="00982838">
        <w:t xml:space="preserve">. N. G. </w:t>
      </w:r>
      <w:proofErr w:type="spellStart"/>
      <w:r w:rsidRPr="00982838">
        <w:t>Mankiw</w:t>
      </w:r>
      <w:proofErr w:type="spellEnd"/>
      <w:r w:rsidRPr="00982838">
        <w:t xml:space="preserve">, Chicago: University </w:t>
      </w:r>
      <w:proofErr w:type="spellStart"/>
      <w:r w:rsidRPr="00982838">
        <w:t>of</w:t>
      </w:r>
      <w:proofErr w:type="spellEnd"/>
      <w:r w:rsidRPr="00982838">
        <w:t xml:space="preserve"> Chicago </w:t>
      </w:r>
      <w:proofErr w:type="spellStart"/>
      <w:r w:rsidRPr="00982838">
        <w:t>Press</w:t>
      </w:r>
      <w:proofErr w:type="spellEnd"/>
      <w:r w:rsidRPr="00982838">
        <w:t>.</w:t>
      </w:r>
    </w:p>
    <w:p w14:paraId="282843F5" w14:textId="77777777" w:rsidR="00AA3A5F" w:rsidRPr="00982838" w:rsidRDefault="00AA3A5F" w:rsidP="001E17E8">
      <w:pPr>
        <w:pStyle w:val="UZEINormaln"/>
      </w:pPr>
      <w:r w:rsidRPr="00982838">
        <w:t xml:space="preserve">Bošková, I.,  </w:t>
      </w:r>
      <w:proofErr w:type="spellStart"/>
      <w:r w:rsidRPr="00982838">
        <w:t>Ratinger</w:t>
      </w:r>
      <w:proofErr w:type="spellEnd"/>
      <w:r w:rsidRPr="00982838">
        <w:t xml:space="preserve">, T. (2018). Do </w:t>
      </w:r>
      <w:proofErr w:type="spellStart"/>
      <w:r w:rsidRPr="00982838">
        <w:t>Consumers</w:t>
      </w:r>
      <w:proofErr w:type="spellEnd"/>
      <w:r w:rsidRPr="00982838">
        <w:t xml:space="preserve"> and </w:t>
      </w:r>
      <w:proofErr w:type="spellStart"/>
      <w:r w:rsidRPr="00982838">
        <w:t>Producers</w:t>
      </w:r>
      <w:proofErr w:type="spellEnd"/>
      <w:r w:rsidRPr="00982838">
        <w:t xml:space="preserve"> Benefit </w:t>
      </w:r>
      <w:proofErr w:type="spellStart"/>
      <w:r w:rsidRPr="00982838">
        <w:t>from</w:t>
      </w:r>
      <w:proofErr w:type="spellEnd"/>
      <w:r w:rsidRPr="00982838">
        <w:t xml:space="preserve"> </w:t>
      </w:r>
      <w:proofErr w:type="spellStart"/>
      <w:r w:rsidRPr="00982838">
        <w:t>Labels</w:t>
      </w:r>
      <w:proofErr w:type="spellEnd"/>
      <w:r w:rsidRPr="00982838">
        <w:t xml:space="preserve"> </w:t>
      </w:r>
      <w:proofErr w:type="spellStart"/>
      <w:r w:rsidRPr="00982838">
        <w:t>of</w:t>
      </w:r>
      <w:proofErr w:type="spellEnd"/>
      <w:r w:rsidRPr="00982838">
        <w:t xml:space="preserve"> </w:t>
      </w:r>
      <w:proofErr w:type="spellStart"/>
      <w:r w:rsidRPr="00982838">
        <w:t>Regional</w:t>
      </w:r>
      <w:proofErr w:type="spellEnd"/>
      <w:r w:rsidRPr="00982838">
        <w:t xml:space="preserve"> </w:t>
      </w:r>
      <w:proofErr w:type="spellStart"/>
      <w:r w:rsidRPr="00982838">
        <w:t>Origin</w:t>
      </w:r>
      <w:proofErr w:type="spellEnd"/>
      <w:r w:rsidRPr="00982838">
        <w:t xml:space="preserve">?: </w:t>
      </w:r>
      <w:proofErr w:type="spellStart"/>
      <w:r w:rsidRPr="00982838">
        <w:t>The</w:t>
      </w:r>
      <w:proofErr w:type="spellEnd"/>
      <w:r w:rsidRPr="00982838">
        <w:t xml:space="preserve"> Case </w:t>
      </w:r>
      <w:proofErr w:type="spellStart"/>
      <w:r w:rsidRPr="00982838">
        <w:t>of</w:t>
      </w:r>
      <w:proofErr w:type="spellEnd"/>
      <w:r w:rsidRPr="00982838">
        <w:t xml:space="preserve"> </w:t>
      </w:r>
      <w:proofErr w:type="spellStart"/>
      <w:r w:rsidRPr="00982838">
        <w:t>the</w:t>
      </w:r>
      <w:proofErr w:type="spellEnd"/>
      <w:r w:rsidRPr="00982838">
        <w:t xml:space="preserve"> Czech Republic. In </w:t>
      </w:r>
      <w:proofErr w:type="spellStart"/>
      <w:r w:rsidRPr="00982838">
        <w:t>Matsumoto</w:t>
      </w:r>
      <w:proofErr w:type="spellEnd"/>
      <w:r w:rsidRPr="00982838">
        <w:t xml:space="preserve">, S. and </w:t>
      </w:r>
      <w:proofErr w:type="spellStart"/>
      <w:r w:rsidRPr="00982838">
        <w:t>Otsuki</w:t>
      </w:r>
      <w:proofErr w:type="spellEnd"/>
      <w:r w:rsidRPr="00982838">
        <w:t>, T. (</w:t>
      </w:r>
      <w:proofErr w:type="spellStart"/>
      <w:r w:rsidRPr="00982838">
        <w:t>Eds</w:t>
      </w:r>
      <w:proofErr w:type="spellEnd"/>
      <w:r w:rsidRPr="00982838">
        <w:t xml:space="preserve">), </w:t>
      </w:r>
      <w:proofErr w:type="spellStart"/>
      <w:r w:rsidRPr="00982838">
        <w:t>Consumer</w:t>
      </w:r>
      <w:proofErr w:type="spellEnd"/>
      <w:r w:rsidRPr="00982838">
        <w:t xml:space="preserve"> </w:t>
      </w:r>
      <w:proofErr w:type="spellStart"/>
      <w:r w:rsidRPr="00982838">
        <w:t>Perception</w:t>
      </w:r>
      <w:proofErr w:type="spellEnd"/>
      <w:r w:rsidRPr="00982838">
        <w:t xml:space="preserve"> </w:t>
      </w:r>
      <w:proofErr w:type="spellStart"/>
      <w:r w:rsidRPr="00982838">
        <w:t>of</w:t>
      </w:r>
      <w:proofErr w:type="spellEnd"/>
      <w:r w:rsidRPr="00982838">
        <w:t xml:space="preserve"> Food </w:t>
      </w:r>
      <w:proofErr w:type="spellStart"/>
      <w:r w:rsidRPr="00982838">
        <w:t>Attributes</w:t>
      </w:r>
      <w:proofErr w:type="spellEnd"/>
      <w:r w:rsidRPr="00982838">
        <w:t>, (</w:t>
      </w:r>
      <w:proofErr w:type="spellStart"/>
      <w:r w:rsidRPr="00982838">
        <w:t>Chapter</w:t>
      </w:r>
      <w:proofErr w:type="spellEnd"/>
      <w:r w:rsidRPr="00982838">
        <w:t xml:space="preserve"> 14, in </w:t>
      </w:r>
      <w:proofErr w:type="spellStart"/>
      <w:r w:rsidRPr="00982838">
        <w:t>press</w:t>
      </w:r>
      <w:proofErr w:type="spellEnd"/>
      <w:r w:rsidRPr="00982838">
        <w:t xml:space="preserve">), 1st </w:t>
      </w:r>
      <w:proofErr w:type="spellStart"/>
      <w:r w:rsidRPr="00982838">
        <w:t>ed</w:t>
      </w:r>
      <w:proofErr w:type="spellEnd"/>
      <w:r w:rsidRPr="00982838">
        <w:t xml:space="preserve">., </w:t>
      </w:r>
      <w:proofErr w:type="spellStart"/>
      <w:r w:rsidRPr="00982838">
        <w:t>Boca</w:t>
      </w:r>
      <w:proofErr w:type="spellEnd"/>
      <w:r w:rsidRPr="00982838">
        <w:t xml:space="preserve"> </w:t>
      </w:r>
      <w:proofErr w:type="spellStart"/>
      <w:r w:rsidRPr="00982838">
        <w:t>Raton</w:t>
      </w:r>
      <w:proofErr w:type="spellEnd"/>
      <w:r w:rsidRPr="00982838">
        <w:t xml:space="preserve">, FL, USA: CRC </w:t>
      </w:r>
      <w:proofErr w:type="spellStart"/>
      <w:r w:rsidRPr="00982838">
        <w:t>Press</w:t>
      </w:r>
      <w:proofErr w:type="spellEnd"/>
      <w:r w:rsidRPr="00982838">
        <w:t>. ISBN-10: 1138196843.</w:t>
      </w:r>
    </w:p>
    <w:p w14:paraId="2BC3DC61" w14:textId="77777777" w:rsidR="00AA3A5F" w:rsidRPr="00982838" w:rsidRDefault="00AA3A5F" w:rsidP="001E17E8">
      <w:pPr>
        <w:pStyle w:val="UZEINormaln"/>
      </w:pPr>
      <w:r w:rsidRPr="00982838">
        <w:t xml:space="preserve">Bošková, I., Kohoutová, V., </w:t>
      </w:r>
      <w:proofErr w:type="spellStart"/>
      <w:r w:rsidRPr="00982838">
        <w:t>Bříšková</w:t>
      </w:r>
      <w:proofErr w:type="spellEnd"/>
      <w:r w:rsidRPr="00982838">
        <w:t xml:space="preserve">, M., Kličková, K. (2017). Přenos informací o výrobci a výrobku napříč </w:t>
      </w:r>
      <w:proofErr w:type="spellStart"/>
      <w:r w:rsidRPr="00982838">
        <w:t>zemědělsko</w:t>
      </w:r>
      <w:proofErr w:type="spellEnd"/>
      <w:r w:rsidRPr="00982838">
        <w:t xml:space="preserve"> – potravinovou vertikálou. Zpráva o výsledcích řešení IVP 1118 za rok 2017. Ústav zemědělské ekonomiky a informací, Praha. </w:t>
      </w:r>
    </w:p>
    <w:p w14:paraId="13EA4EEE" w14:textId="77777777" w:rsidR="00AA3A5F" w:rsidRPr="00982838" w:rsidRDefault="00AA3A5F" w:rsidP="001E17E8">
      <w:pPr>
        <w:pStyle w:val="UZEINormaln"/>
      </w:pPr>
      <w:r w:rsidRPr="00982838">
        <w:t xml:space="preserve">Bošková, I., Abrahamová, M., Špička, J., </w:t>
      </w:r>
      <w:proofErr w:type="spellStart"/>
      <w:r w:rsidRPr="00982838">
        <w:t>Rudinskaya</w:t>
      </w:r>
      <w:proofErr w:type="spellEnd"/>
      <w:r w:rsidRPr="00982838">
        <w:t xml:space="preserve">, T., </w:t>
      </w:r>
      <w:proofErr w:type="spellStart"/>
      <w:r w:rsidRPr="00982838">
        <w:t>Náglová</w:t>
      </w:r>
      <w:proofErr w:type="spellEnd"/>
      <w:r w:rsidRPr="00982838">
        <w:t xml:space="preserve">, Z., Pokorný, J., Froněk, P. (2017). Problematika tržních nedokonalostí a selhání v rámci vertikály </w:t>
      </w:r>
      <w:proofErr w:type="spellStart"/>
      <w:r w:rsidRPr="00982838">
        <w:t>zemědělsko</w:t>
      </w:r>
      <w:proofErr w:type="spellEnd"/>
      <w:r w:rsidRPr="00982838">
        <w:t xml:space="preserve"> – potravinářských výrobků. </w:t>
      </w:r>
      <w:proofErr w:type="spellStart"/>
      <w:r w:rsidRPr="00982838">
        <w:t>Tématický</w:t>
      </w:r>
      <w:proofErr w:type="spellEnd"/>
      <w:r w:rsidRPr="00982838">
        <w:t xml:space="preserve"> úkol 3/4206/2017 – výstup září. Ústav zemědělské ekonomiky a informací, Praha</w:t>
      </w:r>
    </w:p>
    <w:p w14:paraId="1EE2C433" w14:textId="77777777" w:rsidR="00AA3A5F" w:rsidRPr="00982838" w:rsidRDefault="00AA3A5F" w:rsidP="001E17E8">
      <w:pPr>
        <w:pStyle w:val="UZEINormaln"/>
      </w:pPr>
      <w:r w:rsidRPr="00982838">
        <w:t xml:space="preserve">Bošková, I., </w:t>
      </w:r>
      <w:bookmarkStart w:id="90" w:name="spoluřešitelé"/>
      <w:r w:rsidRPr="00982838">
        <w:t xml:space="preserve">Abrahamová, M., Novotný, P., Špička, J., </w:t>
      </w:r>
      <w:proofErr w:type="spellStart"/>
      <w:r w:rsidRPr="00982838">
        <w:t>Rudinskaya</w:t>
      </w:r>
      <w:proofErr w:type="spellEnd"/>
      <w:r w:rsidRPr="00982838">
        <w:t xml:space="preserve">, T., </w:t>
      </w:r>
      <w:proofErr w:type="spellStart"/>
      <w:r w:rsidRPr="00982838">
        <w:t>Mrhálková</w:t>
      </w:r>
      <w:proofErr w:type="spellEnd"/>
      <w:r w:rsidRPr="00982838">
        <w:t>, I., Štiková, O., Kohoutová, V., Plášil, M., Peřinová, V. (2016).</w:t>
      </w:r>
      <w:bookmarkEnd w:id="90"/>
      <w:r w:rsidRPr="00982838">
        <w:t xml:space="preserve"> Problematika tržních nedokonalostí a selhání v rámci vertikály </w:t>
      </w:r>
      <w:proofErr w:type="spellStart"/>
      <w:r w:rsidRPr="00982838">
        <w:t>zemědělsko</w:t>
      </w:r>
      <w:proofErr w:type="spellEnd"/>
      <w:r w:rsidRPr="00982838">
        <w:t xml:space="preserve"> – potravinářských výrobků. </w:t>
      </w:r>
      <w:proofErr w:type="spellStart"/>
      <w:r w:rsidRPr="00982838">
        <w:t>Tématický</w:t>
      </w:r>
      <w:proofErr w:type="spellEnd"/>
      <w:r w:rsidRPr="00982838">
        <w:t xml:space="preserve"> úkol 3/4206/2016 – výstup září. Ústav zemědělské ekonomiky a informací, Praha</w:t>
      </w:r>
    </w:p>
    <w:p w14:paraId="7C8D93CB" w14:textId="77777777" w:rsidR="00AA3A5F" w:rsidRPr="00982838" w:rsidRDefault="00AA3A5F" w:rsidP="001E17E8">
      <w:pPr>
        <w:pStyle w:val="UZEINormaln"/>
      </w:pPr>
      <w:r w:rsidRPr="00982838">
        <w:t>ČZU (2016). Postavení značek kvality potravin na trhu ČR.  Katedra obchodu a financí Provozně ekonomické fakulty ČZU, Praha. Interní materiál. Spotřebitelské preference při nákupu potravin se značkou kvality potravin.</w:t>
      </w:r>
    </w:p>
    <w:p w14:paraId="5E6BC695" w14:textId="77777777" w:rsidR="00AA3A5F" w:rsidRPr="00982838" w:rsidRDefault="00AA3A5F" w:rsidP="001E17E8">
      <w:pPr>
        <w:pStyle w:val="UZEINormaln"/>
      </w:pPr>
      <w:proofErr w:type="spellStart"/>
      <w:r w:rsidRPr="00982838">
        <w:t>Darby</w:t>
      </w:r>
      <w:proofErr w:type="spellEnd"/>
      <w:r w:rsidRPr="00982838">
        <w:t xml:space="preserve">, M., &amp; </w:t>
      </w:r>
      <w:proofErr w:type="spellStart"/>
      <w:r w:rsidRPr="00982838">
        <w:t>Karni</w:t>
      </w:r>
      <w:proofErr w:type="spellEnd"/>
      <w:r w:rsidRPr="00982838">
        <w:t xml:space="preserve">, E. (1973). Free </w:t>
      </w:r>
      <w:proofErr w:type="spellStart"/>
      <w:r w:rsidRPr="00982838">
        <w:t>competition</w:t>
      </w:r>
      <w:proofErr w:type="spellEnd"/>
      <w:r w:rsidRPr="00982838">
        <w:t xml:space="preserve"> and </w:t>
      </w:r>
      <w:proofErr w:type="spellStart"/>
      <w:r w:rsidRPr="00982838">
        <w:t>the</w:t>
      </w:r>
      <w:proofErr w:type="spellEnd"/>
      <w:r w:rsidRPr="00982838">
        <w:t xml:space="preserve"> </w:t>
      </w:r>
      <w:proofErr w:type="spellStart"/>
      <w:r w:rsidRPr="00982838">
        <w:t>optimal</w:t>
      </w:r>
      <w:proofErr w:type="spellEnd"/>
      <w:r w:rsidRPr="00982838">
        <w:t xml:space="preserve"> </w:t>
      </w:r>
      <w:proofErr w:type="spellStart"/>
      <w:r w:rsidRPr="00982838">
        <w:t>amount</w:t>
      </w:r>
      <w:proofErr w:type="spellEnd"/>
      <w:r w:rsidRPr="00982838">
        <w:t xml:space="preserve"> </w:t>
      </w:r>
      <w:proofErr w:type="spellStart"/>
      <w:r w:rsidRPr="00982838">
        <w:t>of</w:t>
      </w:r>
      <w:proofErr w:type="spellEnd"/>
      <w:r w:rsidRPr="00982838">
        <w:t xml:space="preserve"> </w:t>
      </w:r>
      <w:proofErr w:type="spellStart"/>
      <w:r w:rsidRPr="00982838">
        <w:t>fraud</w:t>
      </w:r>
      <w:proofErr w:type="spellEnd"/>
      <w:r w:rsidRPr="00982838">
        <w:t xml:space="preserve">. </w:t>
      </w:r>
      <w:proofErr w:type="spellStart"/>
      <w:r w:rsidRPr="00982838">
        <w:t>Journal</w:t>
      </w:r>
      <w:proofErr w:type="spellEnd"/>
      <w:r w:rsidRPr="00982838">
        <w:t xml:space="preserve"> </w:t>
      </w:r>
      <w:proofErr w:type="spellStart"/>
      <w:r w:rsidRPr="00982838">
        <w:t>of</w:t>
      </w:r>
      <w:proofErr w:type="spellEnd"/>
      <w:r w:rsidRPr="00982838">
        <w:t xml:space="preserve"> </w:t>
      </w:r>
      <w:proofErr w:type="spellStart"/>
      <w:r w:rsidRPr="00982838">
        <w:t>Law</w:t>
      </w:r>
      <w:proofErr w:type="spellEnd"/>
      <w:r w:rsidRPr="00982838">
        <w:t xml:space="preserve"> and </w:t>
      </w:r>
      <w:proofErr w:type="spellStart"/>
      <w:r w:rsidRPr="00982838">
        <w:t>Economics</w:t>
      </w:r>
      <w:proofErr w:type="spellEnd"/>
      <w:r w:rsidRPr="00982838">
        <w:t>, 16(1), 67–88</w:t>
      </w:r>
    </w:p>
    <w:p w14:paraId="67AE3B70" w14:textId="77777777" w:rsidR="00AA3A5F" w:rsidRPr="00982838" w:rsidRDefault="00AA3A5F" w:rsidP="001E17E8">
      <w:pPr>
        <w:pStyle w:val="UZEINormaln"/>
      </w:pPr>
      <w:proofErr w:type="spellStart"/>
      <w:r w:rsidRPr="00982838">
        <w:t>Evaluation</w:t>
      </w:r>
      <w:proofErr w:type="spellEnd"/>
      <w:r w:rsidRPr="00982838">
        <w:t xml:space="preserve"> Advisory CE; </w:t>
      </w:r>
      <w:proofErr w:type="spellStart"/>
      <w:r w:rsidRPr="00982838">
        <w:t>Naviga</w:t>
      </w:r>
      <w:proofErr w:type="spellEnd"/>
      <w:r w:rsidRPr="00982838">
        <w:t xml:space="preserve"> 4 (2018). Průběžné hodnocení k 30. 6. 2018; hodnocení Programu rozvoje venkova na období 2014-2020. </w:t>
      </w:r>
      <w:proofErr w:type="spellStart"/>
      <w:r w:rsidRPr="00982838">
        <w:t>Naviga</w:t>
      </w:r>
      <w:proofErr w:type="spellEnd"/>
      <w:r w:rsidRPr="00982838">
        <w:t xml:space="preserve"> 4, Praha; </w:t>
      </w:r>
      <w:proofErr w:type="spellStart"/>
      <w:r w:rsidRPr="00982838">
        <w:t>Evaluation</w:t>
      </w:r>
      <w:proofErr w:type="spellEnd"/>
      <w:r w:rsidRPr="00982838">
        <w:t xml:space="preserve"> Advisory CE, Brno.</w:t>
      </w:r>
    </w:p>
    <w:p w14:paraId="222B1473" w14:textId="77777777" w:rsidR="00AA3A5F" w:rsidRPr="00982838" w:rsidRDefault="00AA3A5F" w:rsidP="001E17E8">
      <w:pPr>
        <w:pStyle w:val="UZEINormaln"/>
      </w:pPr>
      <w:proofErr w:type="spellStart"/>
      <w:r w:rsidRPr="00982838">
        <w:t>GfK</w:t>
      </w:r>
      <w:proofErr w:type="spellEnd"/>
      <w:r w:rsidRPr="00982838">
        <w:t xml:space="preserve"> Czech (2017). Studie „Shopping Monitor 2017“</w:t>
      </w:r>
    </w:p>
    <w:p w14:paraId="69BC54AB" w14:textId="77777777" w:rsidR="00AA3A5F" w:rsidRPr="00982838" w:rsidRDefault="00AA3A5F" w:rsidP="001E17E8">
      <w:pPr>
        <w:pStyle w:val="UZEINormaln"/>
      </w:pPr>
      <w:proofErr w:type="spellStart"/>
      <w:r w:rsidRPr="00982838">
        <w:t>Luhmann</w:t>
      </w:r>
      <w:proofErr w:type="spellEnd"/>
      <w:r w:rsidRPr="00982838">
        <w:t xml:space="preserve">, N. (1979). Trust and </w:t>
      </w:r>
      <w:proofErr w:type="spellStart"/>
      <w:r w:rsidRPr="00982838">
        <w:t>power</w:t>
      </w:r>
      <w:proofErr w:type="spellEnd"/>
      <w:r w:rsidRPr="00982838">
        <w:t xml:space="preserve">.  </w:t>
      </w:r>
      <w:proofErr w:type="spellStart"/>
      <w:r w:rsidRPr="00982838">
        <w:t>Wiley</w:t>
      </w:r>
      <w:proofErr w:type="spellEnd"/>
      <w:r w:rsidRPr="00982838">
        <w:t xml:space="preserve">, </w:t>
      </w:r>
      <w:proofErr w:type="spellStart"/>
      <w:r w:rsidRPr="00982838">
        <w:t>Chichester</w:t>
      </w:r>
      <w:proofErr w:type="spellEnd"/>
      <w:r w:rsidRPr="00982838">
        <w:t>, Toronto. ISBN 0471997587</w:t>
      </w:r>
    </w:p>
    <w:p w14:paraId="79091C9A" w14:textId="77777777" w:rsidR="00AA3A5F" w:rsidRPr="00982838" w:rsidRDefault="00AA3A5F" w:rsidP="001E17E8">
      <w:pPr>
        <w:pStyle w:val="UZEINormaln"/>
      </w:pPr>
      <w:r w:rsidRPr="00982838">
        <w:t xml:space="preserve">Jelínek, l., Hruška, M., </w:t>
      </w:r>
      <w:proofErr w:type="spellStart"/>
      <w:r w:rsidRPr="00982838">
        <w:t>Boyinová</w:t>
      </w:r>
      <w:proofErr w:type="spellEnd"/>
      <w:r w:rsidRPr="00982838">
        <w:t xml:space="preserve">, S., Medonos, M., </w:t>
      </w:r>
      <w:proofErr w:type="spellStart"/>
      <w:r w:rsidRPr="00982838">
        <w:t>Pechrová-Šimpachá</w:t>
      </w:r>
      <w:proofErr w:type="spellEnd"/>
      <w:r w:rsidRPr="00982838">
        <w:t>, M., Šimpach, O. Analýza hospodaření velkých zemědělských podniků. Výstup I – analýza majetkových vazeb zemědělských podniků. Průběžná zpráva o výsledcích řešení IVP 1117 za rok 2017. Ústav zemědělské ekonomiky a informací, Praha.</w:t>
      </w:r>
    </w:p>
    <w:p w14:paraId="6D9B4324" w14:textId="77777777" w:rsidR="00AA3A5F" w:rsidRPr="00982838" w:rsidRDefault="00AA3A5F" w:rsidP="001E17E8">
      <w:pPr>
        <w:pStyle w:val="UZEINormaln"/>
      </w:pPr>
      <w:proofErr w:type="spellStart"/>
      <w:r w:rsidRPr="00982838">
        <w:lastRenderedPageBreak/>
        <w:t>McCorriston</w:t>
      </w:r>
      <w:proofErr w:type="spellEnd"/>
      <w:r w:rsidRPr="00982838">
        <w:t>, S. and Sheldon, I.M. (1996). “</w:t>
      </w:r>
      <w:proofErr w:type="spellStart"/>
      <w:r w:rsidRPr="00982838">
        <w:t>Trade</w:t>
      </w:r>
      <w:proofErr w:type="spellEnd"/>
      <w:r w:rsidRPr="00982838">
        <w:t xml:space="preserve"> </w:t>
      </w:r>
      <w:proofErr w:type="spellStart"/>
      <w:r w:rsidRPr="00982838">
        <w:t>Policy</w:t>
      </w:r>
      <w:proofErr w:type="spellEnd"/>
      <w:r w:rsidRPr="00982838">
        <w:t xml:space="preserve"> in </w:t>
      </w:r>
      <w:proofErr w:type="spellStart"/>
      <w:r w:rsidRPr="00982838">
        <w:t>Vertically-Related</w:t>
      </w:r>
      <w:proofErr w:type="spellEnd"/>
      <w:r w:rsidRPr="00982838">
        <w:t xml:space="preserve"> </w:t>
      </w:r>
      <w:proofErr w:type="spellStart"/>
      <w:r w:rsidRPr="00982838">
        <w:t>Markets</w:t>
      </w:r>
      <w:proofErr w:type="spellEnd"/>
      <w:r w:rsidRPr="00982838">
        <w:t xml:space="preserve">”, Oxford </w:t>
      </w:r>
      <w:proofErr w:type="spellStart"/>
      <w:r w:rsidRPr="00982838">
        <w:t>Economic</w:t>
      </w:r>
      <w:proofErr w:type="spellEnd"/>
      <w:r w:rsidRPr="00982838">
        <w:t xml:space="preserve"> </w:t>
      </w:r>
      <w:proofErr w:type="spellStart"/>
      <w:r w:rsidRPr="00982838">
        <w:t>Papers</w:t>
      </w:r>
      <w:proofErr w:type="spellEnd"/>
      <w:r w:rsidRPr="00982838">
        <w:t xml:space="preserve"> 48: 664-672.</w:t>
      </w:r>
    </w:p>
    <w:p w14:paraId="786BBE60" w14:textId="77777777" w:rsidR="00AA3A5F" w:rsidRPr="00982838" w:rsidRDefault="00AA3A5F" w:rsidP="001E17E8">
      <w:pPr>
        <w:pStyle w:val="UZEINormaln"/>
      </w:pPr>
      <w:proofErr w:type="spellStart"/>
      <w:r w:rsidRPr="00982838">
        <w:t>Meyer</w:t>
      </w:r>
      <w:proofErr w:type="spellEnd"/>
      <w:r w:rsidRPr="00982838">
        <w:t xml:space="preserve">, S. B., </w:t>
      </w:r>
      <w:proofErr w:type="spellStart"/>
      <w:r w:rsidRPr="00982838">
        <w:t>Coveney</w:t>
      </w:r>
      <w:proofErr w:type="spellEnd"/>
      <w:r w:rsidRPr="00982838">
        <w:t xml:space="preserve">, J., </w:t>
      </w:r>
      <w:proofErr w:type="spellStart"/>
      <w:r w:rsidRPr="00982838">
        <w:t>Henderson</w:t>
      </w:r>
      <w:proofErr w:type="spellEnd"/>
      <w:r w:rsidRPr="00982838">
        <w:t xml:space="preserve">, J., </w:t>
      </w:r>
      <w:proofErr w:type="spellStart"/>
      <w:r w:rsidRPr="00982838">
        <w:t>Ward</w:t>
      </w:r>
      <w:proofErr w:type="spellEnd"/>
      <w:r w:rsidRPr="00982838">
        <w:t xml:space="preserve">, P. R., and Taylor, A. W. (2012). </w:t>
      </w:r>
      <w:proofErr w:type="spellStart"/>
      <w:r w:rsidRPr="00982838">
        <w:t>Reconnecting</w:t>
      </w:r>
      <w:proofErr w:type="spellEnd"/>
      <w:r w:rsidRPr="00982838">
        <w:t xml:space="preserve"> </w:t>
      </w:r>
      <w:proofErr w:type="spellStart"/>
      <w:r w:rsidRPr="00982838">
        <w:t>Australian</w:t>
      </w:r>
      <w:proofErr w:type="spellEnd"/>
      <w:r w:rsidRPr="00982838">
        <w:t xml:space="preserve"> </w:t>
      </w:r>
      <w:proofErr w:type="spellStart"/>
      <w:r w:rsidRPr="00982838">
        <w:t>consumers</w:t>
      </w:r>
      <w:proofErr w:type="spellEnd"/>
      <w:r w:rsidRPr="00982838">
        <w:t xml:space="preserve"> and </w:t>
      </w:r>
      <w:proofErr w:type="spellStart"/>
      <w:r w:rsidRPr="00982838">
        <w:t>producers</w:t>
      </w:r>
      <w:proofErr w:type="spellEnd"/>
      <w:r w:rsidRPr="00982838">
        <w:t xml:space="preserve">: </w:t>
      </w:r>
      <w:proofErr w:type="spellStart"/>
      <w:r w:rsidRPr="00982838">
        <w:t>Identifying</w:t>
      </w:r>
      <w:proofErr w:type="spellEnd"/>
      <w:r w:rsidRPr="00982838">
        <w:t xml:space="preserve"> </w:t>
      </w:r>
      <w:proofErr w:type="spellStart"/>
      <w:r w:rsidRPr="00982838">
        <w:t>problems</w:t>
      </w:r>
      <w:proofErr w:type="spellEnd"/>
      <w:r w:rsidRPr="00982838">
        <w:t xml:space="preserve"> </w:t>
      </w:r>
      <w:proofErr w:type="spellStart"/>
      <w:r w:rsidRPr="00982838">
        <w:t>of</w:t>
      </w:r>
      <w:proofErr w:type="spellEnd"/>
      <w:r w:rsidRPr="00982838">
        <w:t xml:space="preserve"> </w:t>
      </w:r>
      <w:proofErr w:type="spellStart"/>
      <w:r w:rsidRPr="00982838">
        <w:t>distrust</w:t>
      </w:r>
      <w:proofErr w:type="spellEnd"/>
      <w:r w:rsidRPr="00982838">
        <w:t xml:space="preserve">. Food </w:t>
      </w:r>
      <w:proofErr w:type="spellStart"/>
      <w:r w:rsidRPr="00982838">
        <w:t>Policy</w:t>
      </w:r>
      <w:proofErr w:type="spellEnd"/>
      <w:r w:rsidRPr="00982838">
        <w:t xml:space="preserve">, 37(6), 634e640. </w:t>
      </w:r>
      <w:hyperlink r:id="rId28" w:history="1">
        <w:r w:rsidRPr="00982838">
          <w:t xml:space="preserve">http://dx.doi.org/10.1016/j.foodpol.2012.07.005. </w:t>
        </w:r>
      </w:hyperlink>
    </w:p>
    <w:p w14:paraId="58736448" w14:textId="77777777" w:rsidR="00AA3A5F" w:rsidRPr="00982838" w:rsidRDefault="00AA3A5F" w:rsidP="001E17E8">
      <w:pPr>
        <w:pStyle w:val="UZEINormaln"/>
      </w:pPr>
      <w:proofErr w:type="spellStart"/>
      <w:r w:rsidRPr="00982838">
        <w:t>Meyer</w:t>
      </w:r>
      <w:proofErr w:type="spellEnd"/>
      <w:r w:rsidRPr="00982838">
        <w:t xml:space="preserve">, J. and S. von </w:t>
      </w:r>
      <w:proofErr w:type="spellStart"/>
      <w:r w:rsidRPr="00982838">
        <w:t>Cramon-Taubadel</w:t>
      </w:r>
      <w:proofErr w:type="spellEnd"/>
      <w:r w:rsidRPr="00982838">
        <w:t>, (2004). “</w:t>
      </w:r>
      <w:proofErr w:type="spellStart"/>
      <w:r w:rsidRPr="00982838">
        <w:t>Asymmetric</w:t>
      </w:r>
      <w:proofErr w:type="spellEnd"/>
      <w:r w:rsidRPr="00982838">
        <w:t xml:space="preserve"> </w:t>
      </w:r>
      <w:proofErr w:type="spellStart"/>
      <w:r w:rsidRPr="00982838">
        <w:t>Price</w:t>
      </w:r>
      <w:proofErr w:type="spellEnd"/>
      <w:r w:rsidRPr="00982838">
        <w:t xml:space="preserve"> </w:t>
      </w:r>
      <w:proofErr w:type="spellStart"/>
      <w:r w:rsidRPr="00982838">
        <w:t>Transmission</w:t>
      </w:r>
      <w:proofErr w:type="spellEnd"/>
      <w:r w:rsidRPr="00982838">
        <w:t xml:space="preserve">: A </w:t>
      </w:r>
      <w:proofErr w:type="spellStart"/>
      <w:r w:rsidRPr="00982838">
        <w:t>Survey</w:t>
      </w:r>
      <w:proofErr w:type="spellEnd"/>
      <w:r w:rsidRPr="00982838">
        <w:t xml:space="preserve">,” </w:t>
      </w:r>
      <w:proofErr w:type="spellStart"/>
      <w:r w:rsidRPr="00982838">
        <w:t>Journal</w:t>
      </w:r>
      <w:proofErr w:type="spellEnd"/>
      <w:r w:rsidRPr="00982838">
        <w:t xml:space="preserve"> </w:t>
      </w:r>
      <w:proofErr w:type="spellStart"/>
      <w:r w:rsidRPr="00982838">
        <w:t>of</w:t>
      </w:r>
      <w:proofErr w:type="spellEnd"/>
      <w:r w:rsidRPr="00982838">
        <w:t xml:space="preserve"> </w:t>
      </w:r>
      <w:proofErr w:type="spellStart"/>
      <w:r w:rsidRPr="00982838">
        <w:t>Agricultural</w:t>
      </w:r>
      <w:proofErr w:type="spellEnd"/>
      <w:r w:rsidRPr="00982838">
        <w:t xml:space="preserve"> </w:t>
      </w:r>
      <w:proofErr w:type="spellStart"/>
      <w:r w:rsidRPr="00982838">
        <w:t>Economics</w:t>
      </w:r>
      <w:proofErr w:type="spellEnd"/>
      <w:r w:rsidRPr="00982838">
        <w:t>. 55: 581-611.</w:t>
      </w:r>
    </w:p>
    <w:p w14:paraId="5DDAFE4A" w14:textId="77777777" w:rsidR="00AA3A5F" w:rsidRPr="00982838" w:rsidRDefault="00AA3A5F" w:rsidP="001E17E8">
      <w:pPr>
        <w:pStyle w:val="UZEINormaln"/>
      </w:pPr>
      <w:proofErr w:type="spellStart"/>
      <w:r w:rsidRPr="00982838">
        <w:t>Mze</w:t>
      </w:r>
      <w:proofErr w:type="spellEnd"/>
      <w:r w:rsidRPr="00982838">
        <w:t xml:space="preserve"> (2020). Zpráva o stavu zemědělství ČR. Ministerstvo zemědělství, Praha, 2020.</w:t>
      </w:r>
    </w:p>
    <w:p w14:paraId="355A3872" w14:textId="77777777" w:rsidR="00AA3A5F" w:rsidRPr="00982838" w:rsidRDefault="00AA3A5F" w:rsidP="001E17E8">
      <w:pPr>
        <w:pStyle w:val="UZEINormaln"/>
      </w:pPr>
      <w:r w:rsidRPr="00982838">
        <w:t xml:space="preserve">MZe (2018, </w:t>
      </w:r>
      <w:proofErr w:type="gramStart"/>
      <w:r w:rsidRPr="00982838">
        <w:t>a )</w:t>
      </w:r>
      <w:proofErr w:type="gramEnd"/>
      <w:r w:rsidRPr="00982838">
        <w:t xml:space="preserve">. Analýza národních dotací do zemědělství v roce 2017. Ministerstvo zemědělství ČR, odbor </w:t>
      </w:r>
      <w:proofErr w:type="gramStart"/>
      <w:r w:rsidRPr="00982838">
        <w:t>12120  účetnictví</w:t>
      </w:r>
      <w:proofErr w:type="gramEnd"/>
      <w:r w:rsidRPr="00982838">
        <w:t xml:space="preserve"> a statistiky, č.j. 20817/2018-MZE-12121. Interní materiál.</w:t>
      </w:r>
    </w:p>
    <w:p w14:paraId="613445E7" w14:textId="77777777" w:rsidR="00AA3A5F" w:rsidRPr="00982838" w:rsidRDefault="00AA3A5F" w:rsidP="001E17E8">
      <w:pPr>
        <w:pStyle w:val="UZEINormaln"/>
      </w:pPr>
      <w:proofErr w:type="spellStart"/>
      <w:r w:rsidRPr="00982838">
        <w:t>Mze</w:t>
      </w:r>
      <w:proofErr w:type="spellEnd"/>
      <w:r w:rsidRPr="00982838">
        <w:t xml:space="preserve"> (2018, b). Zpráva o stavu zemědělství ČR. Ministerstvo zemědělství, Praha, 2018.</w:t>
      </w:r>
    </w:p>
    <w:p w14:paraId="2D6A9C9D" w14:textId="77777777" w:rsidR="00AA3A5F" w:rsidRPr="00982838" w:rsidRDefault="00AA3A5F" w:rsidP="001E17E8">
      <w:pPr>
        <w:pStyle w:val="UZEINormaln"/>
      </w:pPr>
      <w:proofErr w:type="spellStart"/>
      <w:r w:rsidRPr="00982838">
        <w:t>Mze</w:t>
      </w:r>
      <w:proofErr w:type="spellEnd"/>
      <w:r w:rsidRPr="00982838">
        <w:t xml:space="preserve"> (2017, a). Střednědobé hodnocení 2017: Programu rozvoje venkova na období 2014 – 2020. MZe, dostupné z: </w:t>
      </w:r>
      <w:hyperlink r:id="rId29" w:history="1">
        <w:r w:rsidRPr="00982838">
          <w:t>http://eagri.cz/public/web/mze/dotace/program-rozvoje-venkova-na-obdobi-2014/hodnoceni-a-monitoring/hodnoceni/strednedobe-hodnoceni-prv-2014-2020.html</w:t>
        </w:r>
      </w:hyperlink>
    </w:p>
    <w:p w14:paraId="6E0709E0" w14:textId="77777777" w:rsidR="00AA3A5F" w:rsidRPr="00982838" w:rsidRDefault="00AA3A5F" w:rsidP="001E17E8">
      <w:pPr>
        <w:pStyle w:val="UZEINormaln"/>
      </w:pPr>
      <w:r w:rsidRPr="00982838">
        <w:t xml:space="preserve">MZe (2017, b). Analýza národních dotací do zemědělství v roce 2016. Ministerstvo zemědělství ČR, odbor </w:t>
      </w:r>
      <w:proofErr w:type="gramStart"/>
      <w:r w:rsidRPr="00982838">
        <w:t>13230  účetnictví</w:t>
      </w:r>
      <w:proofErr w:type="gramEnd"/>
      <w:r w:rsidRPr="00982838">
        <w:t xml:space="preserve"> a statistiky, č.j. 3228/2017-MZE-13231. Interní materiál.</w:t>
      </w:r>
    </w:p>
    <w:p w14:paraId="1F12C439" w14:textId="77777777" w:rsidR="00AA3A5F" w:rsidRPr="00982838" w:rsidRDefault="00AA3A5F" w:rsidP="001E17E8">
      <w:pPr>
        <w:pStyle w:val="UZEINormaln"/>
      </w:pPr>
      <w:r w:rsidRPr="00982838">
        <w:t xml:space="preserve">MZe (2015). Strategie pro růst Ministerstva zemědělství České republiky do roku 2030. Ministerstvo zemědělství ČR, Praha. Dostupné z: </w:t>
      </w:r>
      <w:hyperlink r:id="rId30" w:history="1">
        <w:r w:rsidRPr="00982838">
          <w:rPr>
            <w:rStyle w:val="Hypertextovodkaz"/>
            <w:color w:val="auto"/>
            <w:u w:val="none"/>
          </w:rPr>
          <w:t>www.eagri.cz</w:t>
        </w:r>
      </w:hyperlink>
      <w:r w:rsidRPr="00982838">
        <w:t>.</w:t>
      </w:r>
    </w:p>
    <w:p w14:paraId="2DFE7D46" w14:textId="77777777" w:rsidR="00AA3A5F" w:rsidRPr="00982838" w:rsidRDefault="00AA3A5F" w:rsidP="001E17E8">
      <w:pPr>
        <w:pStyle w:val="UZEINormaln"/>
      </w:pPr>
      <w:proofErr w:type="spellStart"/>
      <w:r w:rsidRPr="00982838">
        <w:t>Rudinskaya</w:t>
      </w:r>
      <w:proofErr w:type="spellEnd"/>
      <w:r w:rsidRPr="00982838">
        <w:t>, T., Abrahamová, M., Bošková, I., Pokorný, J. (2017) Analýza faktorů ovlivňujících cenovou transmisi v zemědělsko-potravinářské vertikále. Interní výzkumný projekt č.1114/2017. Ústav zemědělské ekonomiky a informací, Praha</w:t>
      </w:r>
    </w:p>
    <w:p w14:paraId="1718B39C" w14:textId="77777777" w:rsidR="00AA3A5F" w:rsidRPr="00982838" w:rsidRDefault="00AA3A5F" w:rsidP="001E17E8">
      <w:pPr>
        <w:pStyle w:val="UZEINormaln"/>
      </w:pPr>
      <w:r w:rsidRPr="00982838">
        <w:t xml:space="preserve">Součková, I, Abrahamová, M., </w:t>
      </w:r>
      <w:proofErr w:type="spellStart"/>
      <w:r w:rsidRPr="00982838">
        <w:t>Baudisová</w:t>
      </w:r>
      <w:proofErr w:type="spellEnd"/>
      <w:r w:rsidRPr="00982838">
        <w:t xml:space="preserve">, H., </w:t>
      </w:r>
      <w:proofErr w:type="spellStart"/>
      <w:r w:rsidRPr="00982838">
        <w:t>Menzlová</w:t>
      </w:r>
      <w:proofErr w:type="spellEnd"/>
      <w:r w:rsidRPr="00982838">
        <w:t xml:space="preserve">, J. (2014). Hodnocení Vnitrostátní strategie ČR pro udržitelné operační programy organizací producentů sektoru ovoce a zeleniny (VS ČR). ÚZEI, TU 35/4201,Praha. </w:t>
      </w:r>
    </w:p>
    <w:p w14:paraId="29AF1E99" w14:textId="77777777" w:rsidR="00AA3A5F" w:rsidRPr="00982838" w:rsidRDefault="00AA3A5F" w:rsidP="001E17E8">
      <w:pPr>
        <w:pStyle w:val="UZEINormaln"/>
      </w:pPr>
      <w:r w:rsidRPr="00982838">
        <w:t>SZIF (2018). Dotazníkové šetření mezi držiteli značky Klasa v roce 2018. SZIF, Praha, interní materiál.</w:t>
      </w:r>
    </w:p>
    <w:p w14:paraId="3E358C87" w14:textId="77777777" w:rsidR="00AA3A5F" w:rsidRPr="00982838" w:rsidRDefault="00AA3A5F" w:rsidP="001E17E8">
      <w:pPr>
        <w:pStyle w:val="UZEINormaln"/>
      </w:pPr>
      <w:r w:rsidRPr="00982838">
        <w:t>SZIF (2018). Dotazníkové šetření mezi držiteli značky Regionální potravina v roce 2018. SZIF, Praha, interní materiál.</w:t>
      </w:r>
    </w:p>
    <w:p w14:paraId="275CF2AF" w14:textId="77777777" w:rsidR="00AA3A5F" w:rsidRPr="00982838" w:rsidRDefault="00AA3A5F" w:rsidP="001E17E8">
      <w:pPr>
        <w:pStyle w:val="UZEINormaln"/>
      </w:pPr>
      <w:proofErr w:type="spellStart"/>
      <w:r w:rsidRPr="00982838">
        <w:t>Teuber</w:t>
      </w:r>
      <w:proofErr w:type="spellEnd"/>
      <w:r w:rsidRPr="00982838">
        <w:t xml:space="preserve">, R. (2011) </w:t>
      </w:r>
      <w:proofErr w:type="spellStart"/>
      <w:r w:rsidRPr="00982838">
        <w:t>Consumers</w:t>
      </w:r>
      <w:proofErr w:type="spellEnd"/>
      <w:r w:rsidRPr="00982838">
        <w:t xml:space="preserve">' and </w:t>
      </w:r>
      <w:proofErr w:type="spellStart"/>
      <w:r w:rsidRPr="00982838">
        <w:t>producers</w:t>
      </w:r>
      <w:proofErr w:type="spellEnd"/>
      <w:r w:rsidRPr="00982838">
        <w:t xml:space="preserve">' </w:t>
      </w:r>
      <w:proofErr w:type="spellStart"/>
      <w:r w:rsidRPr="00982838">
        <w:t>expectations</w:t>
      </w:r>
      <w:proofErr w:type="spellEnd"/>
      <w:r w:rsidRPr="00982838">
        <w:t xml:space="preserve"> </w:t>
      </w:r>
      <w:proofErr w:type="spellStart"/>
      <w:r w:rsidRPr="00982838">
        <w:t>towards</w:t>
      </w:r>
      <w:proofErr w:type="spellEnd"/>
      <w:r w:rsidRPr="00982838">
        <w:t xml:space="preserve"> </w:t>
      </w:r>
      <w:proofErr w:type="spellStart"/>
      <w:r w:rsidRPr="00982838">
        <w:t>geographical</w:t>
      </w:r>
      <w:proofErr w:type="spellEnd"/>
      <w:r w:rsidRPr="00982838">
        <w:t xml:space="preserve"> </w:t>
      </w:r>
      <w:proofErr w:type="spellStart"/>
      <w:r w:rsidRPr="00982838">
        <w:t>indications</w:t>
      </w:r>
      <w:proofErr w:type="spellEnd"/>
      <w:r w:rsidRPr="00982838">
        <w:t xml:space="preserve">: </w:t>
      </w:r>
      <w:proofErr w:type="spellStart"/>
      <w:r w:rsidRPr="00982838">
        <w:t>Empirical</w:t>
      </w:r>
      <w:proofErr w:type="spellEnd"/>
      <w:r w:rsidRPr="00982838">
        <w:t xml:space="preserve"> evidence </w:t>
      </w:r>
      <w:proofErr w:type="spellStart"/>
      <w:r w:rsidRPr="00982838">
        <w:t>for</w:t>
      </w:r>
      <w:proofErr w:type="spellEnd"/>
      <w:r w:rsidRPr="00982838">
        <w:t xml:space="preserve"> a German case study. </w:t>
      </w:r>
      <w:proofErr w:type="spellStart"/>
      <w:r w:rsidRPr="00982838">
        <w:t>British</w:t>
      </w:r>
      <w:proofErr w:type="spellEnd"/>
      <w:r w:rsidRPr="00982838">
        <w:t xml:space="preserve"> Food </w:t>
      </w:r>
      <w:proofErr w:type="spellStart"/>
      <w:r w:rsidRPr="00982838">
        <w:t>Journal</w:t>
      </w:r>
      <w:proofErr w:type="spellEnd"/>
      <w:r w:rsidRPr="00982838">
        <w:t>, 113 (7), 900-918. DOI: 10.1108/00070701111148423</w:t>
      </w:r>
    </w:p>
    <w:p w14:paraId="33D6DCAC" w14:textId="77777777" w:rsidR="00AA3A5F" w:rsidRPr="00982838" w:rsidRDefault="00AA3A5F" w:rsidP="001E17E8">
      <w:pPr>
        <w:pStyle w:val="UZEINormaln"/>
      </w:pPr>
      <w:r w:rsidRPr="00982838">
        <w:t xml:space="preserve">Von </w:t>
      </w:r>
      <w:proofErr w:type="spellStart"/>
      <w:r w:rsidRPr="00982838">
        <w:t>Cramon-Taubadel</w:t>
      </w:r>
      <w:proofErr w:type="spellEnd"/>
      <w:r w:rsidRPr="00982838">
        <w:t>, S. (1998). “</w:t>
      </w:r>
      <w:proofErr w:type="spellStart"/>
      <w:r w:rsidRPr="00982838">
        <w:t>Estimating</w:t>
      </w:r>
      <w:proofErr w:type="spellEnd"/>
      <w:r w:rsidRPr="00982838">
        <w:t xml:space="preserve"> </w:t>
      </w:r>
      <w:proofErr w:type="spellStart"/>
      <w:r w:rsidRPr="00982838">
        <w:t>Asymmetric</w:t>
      </w:r>
      <w:proofErr w:type="spellEnd"/>
      <w:r w:rsidRPr="00982838">
        <w:t xml:space="preserve"> </w:t>
      </w:r>
      <w:proofErr w:type="spellStart"/>
      <w:r w:rsidRPr="00982838">
        <w:t>Price</w:t>
      </w:r>
      <w:proofErr w:type="spellEnd"/>
      <w:r w:rsidRPr="00982838">
        <w:t xml:space="preserve"> </w:t>
      </w:r>
      <w:proofErr w:type="spellStart"/>
      <w:r w:rsidRPr="00982838">
        <w:t>Transmission</w:t>
      </w:r>
      <w:proofErr w:type="spellEnd"/>
      <w:r w:rsidRPr="00982838">
        <w:t xml:space="preserve"> </w:t>
      </w:r>
      <w:proofErr w:type="spellStart"/>
      <w:r w:rsidRPr="00982838">
        <w:t>with</w:t>
      </w:r>
      <w:proofErr w:type="spellEnd"/>
      <w:r w:rsidRPr="00982838">
        <w:t xml:space="preserve"> </w:t>
      </w:r>
      <w:proofErr w:type="spellStart"/>
      <w:r w:rsidRPr="00982838">
        <w:t>the</w:t>
      </w:r>
      <w:proofErr w:type="spellEnd"/>
      <w:r w:rsidRPr="00982838">
        <w:t xml:space="preserve"> </w:t>
      </w:r>
      <w:proofErr w:type="spellStart"/>
      <w:r w:rsidRPr="00982838">
        <w:t>Error</w:t>
      </w:r>
      <w:proofErr w:type="spellEnd"/>
      <w:r w:rsidRPr="00982838">
        <w:t xml:space="preserve"> </w:t>
      </w:r>
      <w:proofErr w:type="spellStart"/>
      <w:r w:rsidRPr="00982838">
        <w:t>Correction</w:t>
      </w:r>
      <w:proofErr w:type="spellEnd"/>
      <w:r w:rsidRPr="00982838">
        <w:t xml:space="preserve"> </w:t>
      </w:r>
      <w:proofErr w:type="spellStart"/>
      <w:r w:rsidRPr="00982838">
        <w:t>Representation</w:t>
      </w:r>
      <w:proofErr w:type="spellEnd"/>
      <w:r w:rsidRPr="00982838">
        <w:t xml:space="preserve">: An </w:t>
      </w:r>
      <w:proofErr w:type="spellStart"/>
      <w:r w:rsidRPr="00982838">
        <w:t>Application</w:t>
      </w:r>
      <w:proofErr w:type="spellEnd"/>
      <w:r w:rsidRPr="00982838">
        <w:t xml:space="preserve"> to </w:t>
      </w:r>
      <w:proofErr w:type="spellStart"/>
      <w:r w:rsidRPr="00982838">
        <w:t>the</w:t>
      </w:r>
      <w:proofErr w:type="spellEnd"/>
      <w:r w:rsidRPr="00982838">
        <w:t xml:space="preserve"> German </w:t>
      </w:r>
      <w:proofErr w:type="spellStart"/>
      <w:r w:rsidRPr="00982838">
        <w:t>Pork</w:t>
      </w:r>
      <w:proofErr w:type="spellEnd"/>
      <w:r w:rsidRPr="00982838">
        <w:t xml:space="preserve"> Market,” </w:t>
      </w:r>
      <w:proofErr w:type="spellStart"/>
      <w:r w:rsidRPr="00982838">
        <w:t>European</w:t>
      </w:r>
      <w:proofErr w:type="spellEnd"/>
      <w:r w:rsidRPr="00982838">
        <w:t xml:space="preserve"> </w:t>
      </w:r>
      <w:proofErr w:type="spellStart"/>
      <w:r w:rsidRPr="00982838">
        <w:t>Review</w:t>
      </w:r>
      <w:proofErr w:type="spellEnd"/>
      <w:r w:rsidRPr="00982838">
        <w:t xml:space="preserve"> </w:t>
      </w:r>
      <w:proofErr w:type="spellStart"/>
      <w:r w:rsidRPr="00982838">
        <w:t>of</w:t>
      </w:r>
      <w:proofErr w:type="spellEnd"/>
      <w:r w:rsidRPr="00982838">
        <w:t xml:space="preserve"> </w:t>
      </w:r>
      <w:proofErr w:type="spellStart"/>
      <w:r w:rsidRPr="00982838">
        <w:t>Agricultural</w:t>
      </w:r>
      <w:proofErr w:type="spellEnd"/>
      <w:r w:rsidRPr="00982838">
        <w:t xml:space="preserve"> </w:t>
      </w:r>
      <w:proofErr w:type="spellStart"/>
      <w:r w:rsidRPr="00982838">
        <w:t>Economics</w:t>
      </w:r>
      <w:proofErr w:type="spellEnd"/>
      <w:r w:rsidRPr="00982838">
        <w:t>. 25: 1-18.</w:t>
      </w:r>
    </w:p>
    <w:p w14:paraId="54DC75B2" w14:textId="77777777" w:rsidR="00AA3A5F" w:rsidRPr="00982838" w:rsidRDefault="00AA3A5F" w:rsidP="001E17E8">
      <w:pPr>
        <w:pStyle w:val="UZEINormaln"/>
      </w:pPr>
      <w:proofErr w:type="spellStart"/>
      <w:r w:rsidRPr="00982838">
        <w:t>Zachariasse</w:t>
      </w:r>
      <w:proofErr w:type="spellEnd"/>
      <w:r w:rsidRPr="00982838">
        <w:t xml:space="preserve">, V. and F. </w:t>
      </w:r>
      <w:proofErr w:type="spellStart"/>
      <w:r w:rsidRPr="00982838">
        <w:t>Bunte</w:t>
      </w:r>
      <w:proofErr w:type="spellEnd"/>
      <w:r w:rsidRPr="00982838">
        <w:t xml:space="preserve">, (2003). </w:t>
      </w:r>
      <w:proofErr w:type="spellStart"/>
      <w:r w:rsidRPr="00982838">
        <w:t>How</w:t>
      </w:r>
      <w:proofErr w:type="spellEnd"/>
      <w:r w:rsidRPr="00982838">
        <w:t xml:space="preserve"> are </w:t>
      </w:r>
      <w:proofErr w:type="spellStart"/>
      <w:r w:rsidRPr="00982838">
        <w:t>farmers</w:t>
      </w:r>
      <w:proofErr w:type="spellEnd"/>
      <w:r w:rsidRPr="00982838">
        <w:t xml:space="preserve"> </w:t>
      </w:r>
      <w:proofErr w:type="spellStart"/>
      <w:r w:rsidRPr="00982838">
        <w:t>faring</w:t>
      </w:r>
      <w:proofErr w:type="spellEnd"/>
      <w:r w:rsidRPr="00982838">
        <w:t xml:space="preserve"> in </w:t>
      </w:r>
      <w:proofErr w:type="spellStart"/>
      <w:r w:rsidRPr="00982838">
        <w:t>the</w:t>
      </w:r>
      <w:proofErr w:type="spellEnd"/>
      <w:r w:rsidRPr="00982838">
        <w:t xml:space="preserve"> </w:t>
      </w:r>
      <w:proofErr w:type="spellStart"/>
      <w:r w:rsidRPr="00982838">
        <w:t>changing</w:t>
      </w:r>
      <w:proofErr w:type="spellEnd"/>
      <w:r w:rsidRPr="00982838">
        <w:t xml:space="preserve"> balance </w:t>
      </w:r>
      <w:proofErr w:type="spellStart"/>
      <w:r w:rsidRPr="00982838">
        <w:t>of</w:t>
      </w:r>
      <w:proofErr w:type="spellEnd"/>
      <w:r w:rsidRPr="00982838">
        <w:t xml:space="preserve"> </w:t>
      </w:r>
      <w:proofErr w:type="spellStart"/>
      <w:r w:rsidRPr="00982838">
        <w:t>power</w:t>
      </w:r>
      <w:proofErr w:type="spellEnd"/>
      <w:r w:rsidRPr="00982838">
        <w:t xml:space="preserve"> </w:t>
      </w:r>
      <w:proofErr w:type="spellStart"/>
      <w:r w:rsidRPr="00982838">
        <w:t>along</w:t>
      </w:r>
      <w:proofErr w:type="spellEnd"/>
      <w:r w:rsidRPr="00982838">
        <w:t xml:space="preserve"> </w:t>
      </w:r>
      <w:proofErr w:type="spellStart"/>
      <w:r w:rsidRPr="00982838">
        <w:t>the</w:t>
      </w:r>
      <w:proofErr w:type="spellEnd"/>
      <w:r w:rsidRPr="00982838">
        <w:t xml:space="preserve"> food </w:t>
      </w:r>
      <w:proofErr w:type="spellStart"/>
      <w:r w:rsidRPr="00982838">
        <w:t>supply</w:t>
      </w:r>
      <w:proofErr w:type="spellEnd"/>
      <w:r w:rsidRPr="00982838">
        <w:t xml:space="preserve"> </w:t>
      </w:r>
      <w:proofErr w:type="spellStart"/>
      <w:r w:rsidRPr="00982838">
        <w:t>chain</w:t>
      </w:r>
      <w:proofErr w:type="spellEnd"/>
      <w:r w:rsidRPr="00982838">
        <w:t xml:space="preserve">?, OECD </w:t>
      </w:r>
      <w:proofErr w:type="spellStart"/>
      <w:r w:rsidRPr="00982838">
        <w:t>Conference</w:t>
      </w:r>
      <w:proofErr w:type="spellEnd"/>
      <w:r w:rsidRPr="00982838">
        <w:t xml:space="preserve">: </w:t>
      </w:r>
      <w:proofErr w:type="spellStart"/>
      <w:r w:rsidRPr="00982838">
        <w:t>Changing</w:t>
      </w:r>
      <w:proofErr w:type="spellEnd"/>
      <w:r w:rsidRPr="00982838">
        <w:t xml:space="preserve"> </w:t>
      </w:r>
      <w:proofErr w:type="spellStart"/>
      <w:r w:rsidRPr="00982838">
        <w:t>Dimensions</w:t>
      </w:r>
      <w:proofErr w:type="spellEnd"/>
      <w:r w:rsidRPr="00982838">
        <w:t xml:space="preserve"> </w:t>
      </w:r>
      <w:proofErr w:type="spellStart"/>
      <w:r w:rsidRPr="00982838">
        <w:t>of</w:t>
      </w:r>
      <w:proofErr w:type="spellEnd"/>
      <w:r w:rsidRPr="00982838">
        <w:t xml:space="preserve"> </w:t>
      </w:r>
      <w:proofErr w:type="spellStart"/>
      <w:r w:rsidRPr="00982838">
        <w:t>the</w:t>
      </w:r>
      <w:proofErr w:type="spellEnd"/>
      <w:r w:rsidRPr="00982838">
        <w:t xml:space="preserve"> Food </w:t>
      </w:r>
      <w:proofErr w:type="spellStart"/>
      <w:r w:rsidRPr="00982838">
        <w:t>Economy</w:t>
      </w:r>
      <w:proofErr w:type="spellEnd"/>
      <w:r w:rsidRPr="00982838">
        <w:t xml:space="preserve">: </w:t>
      </w:r>
      <w:proofErr w:type="spellStart"/>
      <w:r w:rsidRPr="00982838">
        <w:t>Exploring</w:t>
      </w:r>
      <w:proofErr w:type="spellEnd"/>
      <w:r w:rsidRPr="00982838">
        <w:t xml:space="preserve"> </w:t>
      </w:r>
      <w:proofErr w:type="spellStart"/>
      <w:r w:rsidRPr="00982838">
        <w:t>the</w:t>
      </w:r>
      <w:proofErr w:type="spellEnd"/>
      <w:r w:rsidRPr="00982838">
        <w:t xml:space="preserve"> </w:t>
      </w:r>
      <w:proofErr w:type="spellStart"/>
      <w:r w:rsidRPr="00982838">
        <w:t>Policy</w:t>
      </w:r>
      <w:proofErr w:type="spellEnd"/>
      <w:r w:rsidRPr="00982838">
        <w:t xml:space="preserve"> </w:t>
      </w:r>
      <w:proofErr w:type="spellStart"/>
      <w:r w:rsidRPr="00982838">
        <w:t>Issues</w:t>
      </w:r>
      <w:proofErr w:type="spellEnd"/>
      <w:r w:rsidRPr="00982838">
        <w:t xml:space="preserve">, </w:t>
      </w:r>
      <w:proofErr w:type="spellStart"/>
      <w:r w:rsidRPr="00982838">
        <w:t>The</w:t>
      </w:r>
      <w:proofErr w:type="spellEnd"/>
      <w:r w:rsidRPr="00982838">
        <w:t xml:space="preserve"> </w:t>
      </w:r>
      <w:proofErr w:type="spellStart"/>
      <w:r w:rsidRPr="00982838">
        <w:t>Hague</w:t>
      </w:r>
      <w:proofErr w:type="spellEnd"/>
      <w:r w:rsidRPr="00982838">
        <w:t xml:space="preserve">, 6-7 </w:t>
      </w:r>
      <w:proofErr w:type="spellStart"/>
      <w:r w:rsidRPr="00982838">
        <w:t>February</w:t>
      </w:r>
      <w:proofErr w:type="spellEnd"/>
      <w:r w:rsidRPr="00982838">
        <w:t xml:space="preserve"> 2003.</w:t>
      </w:r>
    </w:p>
    <w:p w14:paraId="289C04E2" w14:textId="77777777" w:rsidR="00AA3A5F" w:rsidRPr="00B25A22" w:rsidRDefault="00AA3A5F" w:rsidP="001E17E8">
      <w:pPr>
        <w:pStyle w:val="UZEINormaln"/>
        <w:rPr>
          <w:rFonts w:cs="Times New Roman"/>
          <w:sz w:val="22"/>
        </w:rPr>
      </w:pPr>
      <w:r w:rsidRPr="00B25A22">
        <w:rPr>
          <w:rFonts w:cs="Times New Roman"/>
          <w:sz w:val="22"/>
        </w:rPr>
        <w:br w:type="page"/>
      </w:r>
    </w:p>
    <w:p w14:paraId="797CE6C6" w14:textId="4AED150B" w:rsidR="00E369F7" w:rsidRDefault="00E369F7" w:rsidP="00E57A20">
      <w:pPr>
        <w:pStyle w:val="UZEINadpis1stbezsla"/>
      </w:pPr>
      <w:bookmarkStart w:id="91" w:name="_Toc80969619"/>
      <w:bookmarkStart w:id="92" w:name="_Toc81743392"/>
      <w:bookmarkStart w:id="93" w:name="_Toc81743839"/>
      <w:r>
        <w:lastRenderedPageBreak/>
        <w:t>Přílohy</w:t>
      </w:r>
      <w:bookmarkStart w:id="94" w:name="_Toc12598436"/>
      <w:bookmarkEnd w:id="91"/>
      <w:bookmarkEnd w:id="92"/>
      <w:bookmarkEnd w:id="93"/>
    </w:p>
    <w:p w14:paraId="747F33FC" w14:textId="4819F9D0" w:rsidR="00AA3A5F" w:rsidRPr="009E6AFF" w:rsidRDefault="00AA3A5F" w:rsidP="009E6AFF">
      <w:pPr>
        <w:pStyle w:val="UZEINadpis4st"/>
      </w:pPr>
      <w:bookmarkStart w:id="95" w:name="_Toc81743840"/>
      <w:r w:rsidRPr="00B25A22">
        <w:t xml:space="preserve">Příloha </w:t>
      </w:r>
      <w:r w:rsidR="00E57A20">
        <w:t>1</w:t>
      </w:r>
      <w:bookmarkEnd w:id="94"/>
      <w:r w:rsidRPr="00B25A22">
        <w:t xml:space="preserve"> </w:t>
      </w:r>
      <w:bookmarkStart w:id="96" w:name="_Toc12598437"/>
      <w:r w:rsidRPr="00B25A22">
        <w:rPr>
          <w:rFonts w:cs="Times New Roman"/>
        </w:rPr>
        <w:t>Shrnutí zhodnocení Vnitrostátní strategie ČR pro udržitelné operační programy organizací producentů sektoru ovoce a zeleniny</w:t>
      </w:r>
      <w:bookmarkEnd w:id="95"/>
      <w:bookmarkEnd w:id="96"/>
      <w:r w:rsidRPr="00B25A22">
        <w:rPr>
          <w:rFonts w:cs="Times New Roman"/>
        </w:rPr>
        <w:t xml:space="preserve">  </w:t>
      </w:r>
    </w:p>
    <w:p w14:paraId="4EFA3206" w14:textId="77777777" w:rsidR="00AA3A5F" w:rsidRPr="00B25A22" w:rsidRDefault="00AA3A5F" w:rsidP="00AA3A5F">
      <w:pPr>
        <w:rPr>
          <w:rFonts w:cs="Times New Roman"/>
          <w:lang w:val="cs-CZ"/>
        </w:rPr>
      </w:pPr>
    </w:p>
    <w:p w14:paraId="6F5DE42C" w14:textId="77777777" w:rsidR="00AA3A5F" w:rsidRPr="00B25A22" w:rsidRDefault="00AA3A5F" w:rsidP="009E6AFF">
      <w:pPr>
        <w:pStyle w:val="UZEINormaln"/>
      </w:pPr>
      <w:r w:rsidRPr="00B25A22">
        <w:t>Hodnocení vnitrostátní strategie pro udržitelné Operační programy organizací producentů sektoru ovoce a zeleniny bylo provedeno kolektivem pracovníků ÚZEI za dvě období, a to za roky 2009-2011 jako Abrahamová a kol., 2012, TÚ 47 (4437)</w:t>
      </w:r>
      <w:r w:rsidRPr="00B25A22">
        <w:rPr>
          <w:i/>
          <w:vertAlign w:val="superscript"/>
        </w:rPr>
        <w:footnoteReference w:id="31"/>
      </w:r>
      <w:r w:rsidRPr="00B25A22">
        <w:rPr>
          <w:sz w:val="18"/>
          <w:vertAlign w:val="superscript"/>
        </w:rPr>
        <w:t xml:space="preserve"> </w:t>
      </w:r>
      <w:r w:rsidRPr="00B25A22">
        <w:t>„Hodnocení Vnitrostátní strategie ČR pro udržitelné Operační programy organizací producentů sektoru ovoce a zeleniny (VS ČR) dle čl.127 Nařízení Komise (EU) č. 543/2011 - dle Metodického pokynu EK“ a za roky 2012-2013 jako Součková  a kol., 2014, TÚ 35 (4201)</w:t>
      </w:r>
      <w:r w:rsidRPr="00B25A22">
        <w:rPr>
          <w:i/>
          <w:vertAlign w:val="superscript"/>
        </w:rPr>
        <w:footnoteReference w:id="32"/>
      </w:r>
      <w:r w:rsidRPr="00B25A22">
        <w:t xml:space="preserve"> „Hodnocení Vnitrostátní strategie ČR pro udržitelné operační programy organizací producentů sektoru ovoce a zeleniny (VS ČR)“.  Níže jsou popsána hlavní zjištění.</w:t>
      </w:r>
    </w:p>
    <w:p w14:paraId="00075D94" w14:textId="77777777" w:rsidR="00AA3A5F" w:rsidRPr="00B25A22" w:rsidRDefault="00AA3A5F" w:rsidP="009E6AFF">
      <w:pPr>
        <w:pStyle w:val="UZEINormaln"/>
        <w:rPr>
          <w:b/>
          <w:u w:val="single"/>
        </w:rPr>
      </w:pPr>
      <w:r w:rsidRPr="00B25A22">
        <w:rPr>
          <w:b/>
          <w:u w:val="single"/>
        </w:rPr>
        <w:t>Hodnocení VS pro udržitelné Operační programy organizací producentů sektoru ovoce a zeleniny za období 2009-2011 (2012)</w:t>
      </w:r>
    </w:p>
    <w:p w14:paraId="359DB854" w14:textId="77777777" w:rsidR="00AA3A5F" w:rsidRPr="00B25A22" w:rsidRDefault="00AA3A5F" w:rsidP="009E6AFF">
      <w:pPr>
        <w:pStyle w:val="UZEINormaln"/>
      </w:pPr>
      <w:r w:rsidRPr="00B25A22">
        <w:t>Hodnocení VS pro udržitelné Operační programy organizací producentů sektoru ovoce a zeleniny bylo provedeno v roce 2012 za období 2009-2011. Hodnocení bylo zpracováno na základě analýzy primárních dat (tj. individuální rozhovory s vybranými zástupci profesních svazů (Ovocnářské unie ČR a Zelinářské unie Čech a Moravy), dotazníkového průzkumu se všemi OP, dotazníkového průzkumu vybraných členů OP. Dále byly použity Výroční zprávy OP poskytnuté SZIF, data ČSÚ, legislativa, apod. Cílem hodnocení bylo posoudit stupeň využití finančních prostředků, efektivitu realizovaných Operačních programů a jejich účinnost a účinky včetně jejich dopadů do sektoru ovoce a zeleniny. Hodnocení bylo provedeno dle čl. 127 Nařízení Komise (EU) č. 543/2011 – dle metodického pokynu Evropské Komise. Dále bylo provedeno hodnocení Vnitrostátní strategie ČR v roce 2014. V tomto období se hodnotily roky 2012 a 2013 a to na základě dotazníkového šetření u organizací producentů a podle vybraných členů OP. Pro dotazníkové šetření byl využit dotazník s přesně formulovanými otázkami.</w:t>
      </w:r>
    </w:p>
    <w:p w14:paraId="7EB545E1" w14:textId="77777777" w:rsidR="00AA3A5F" w:rsidRPr="00B25A22" w:rsidRDefault="00AA3A5F" w:rsidP="009E6AFF">
      <w:pPr>
        <w:pStyle w:val="UZEINormaln"/>
      </w:pPr>
      <w:r w:rsidRPr="00B25A22">
        <w:t xml:space="preserve">Dle Výročních zpráv OP poskytnutých SZIF byly skutečné celkové výdaje za hodnocené období čerpány v částce 9 170 tis. EUR. Celkové výdaje se v jednotlivých letech průběžně zvyšovaly, což byl důsledek nárůstu počtu organizací producentů s Operačním programem (z 8 OP v roce 2009 na 10 OP v roce 2011). Určitou roli sehrál také směnný kurz Kč vůči EUR. Nejméně finančních prostředků bylo čerpáno v roce 2009, nejvíce pak v roce 2011. Největší objem finančních prostředků směřoval do Opatření č. 2 Kvalita produkce (3 451 tis. EUR) a Opatření č. 3 Odbyt produkce (3 459 tis. EUR). Podíl výdajů těchto dvou Opatření činil tři čtvrtiny z celkových výdajů. Jednalo se především o prostředky vynaložené na různé pěstební, sklizňově a posklizňové technologie, skladovací prostory, na certifikace produktů a marketing. Tyto výdaje souvisí s tím, že Operační programy měly stanoveny cíle, jejichž prioritou bylo zejména udržení nebo posílení konkurenceschopnosti sektoru ovoce a zeleniny. Třetím Opatřením z pohledu objemu vynaložených finančních prostředků bylo Opatření č. 6 Environmentální opatření. Zde bylo ve sledovaném období 2009 až 2011 využito 773 tis. EUR. Během hodnoceného období byly zaznamenány postupně se zvyšující výdaje u Opatření č. 5 Předcházení krizím a jejich řešení, především díky rostoucímu zájmu pěstitelů o pojištění úrody. Naopak nejméně byly čerpány finanční prostředky v Opatření č. 1 Plánování produkce a Opatření č. 4 Vzdělávání a školení. </w:t>
      </w:r>
    </w:p>
    <w:p w14:paraId="0B46CEA4" w14:textId="77777777" w:rsidR="00AA3A5F" w:rsidRPr="0039089B" w:rsidRDefault="00AA3A5F" w:rsidP="00AA3A5F">
      <w:pPr>
        <w:rPr>
          <w:rFonts w:cs="Times New Roman"/>
          <w:b/>
          <w:sz w:val="20"/>
          <w:szCs w:val="20"/>
          <w:lang w:val="cs-CZ"/>
        </w:rPr>
      </w:pPr>
      <w:r w:rsidRPr="0039089B">
        <w:rPr>
          <w:rFonts w:cs="Times New Roman"/>
          <w:b/>
          <w:sz w:val="20"/>
          <w:szCs w:val="20"/>
          <w:lang w:val="cs-CZ"/>
        </w:rPr>
        <w:lastRenderedPageBreak/>
        <w:t>Tab. P 1.1: Celkové výdaje OP na Operační programy v letech 2009 – 2011 v Kč, EUR)</w:t>
      </w:r>
    </w:p>
    <w:p w14:paraId="36720D78" w14:textId="77777777" w:rsidR="00AA3A5F" w:rsidRPr="00B25A22" w:rsidRDefault="00AA3A5F" w:rsidP="00AA3A5F">
      <w:pPr>
        <w:rPr>
          <w:rFonts w:cs="Times New Roman"/>
          <w:b/>
          <w:sz w:val="22"/>
          <w:lang w:val="cs-CZ"/>
        </w:rPr>
      </w:pPr>
      <w:r w:rsidRPr="00B25A22">
        <w:rPr>
          <w:rFonts w:cs="Times New Roman"/>
          <w:noProof/>
          <w:sz w:val="22"/>
          <w:lang w:val="cs-CZ" w:eastAsia="cs-CZ"/>
        </w:rPr>
        <w:drawing>
          <wp:inline distT="0" distB="0" distL="0" distR="0" wp14:anchorId="09D4DEE3" wp14:editId="46776FEC">
            <wp:extent cx="5753100" cy="1885950"/>
            <wp:effectExtent l="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1" cstate="print">
                      <a:extLst>
                        <a:ext uri="{28A0092B-C50C-407E-A947-70E740481C1C}">
                          <a14:useLocalDpi xmlns:a14="http://schemas.microsoft.com/office/drawing/2010/main" val="0"/>
                        </a:ext>
                      </a:extLst>
                    </a:blip>
                    <a:srcRect t="6604" r="1145"/>
                    <a:stretch/>
                  </pic:blipFill>
                  <pic:spPr bwMode="auto">
                    <a:xfrm>
                      <a:off x="0" y="0"/>
                      <a:ext cx="5753100" cy="1885950"/>
                    </a:xfrm>
                    <a:prstGeom prst="rect">
                      <a:avLst/>
                    </a:prstGeom>
                    <a:noFill/>
                    <a:ln>
                      <a:noFill/>
                    </a:ln>
                    <a:extLst>
                      <a:ext uri="{53640926-AAD7-44D8-BBD7-CCE9431645EC}">
                        <a14:shadowObscured xmlns:a14="http://schemas.microsoft.com/office/drawing/2010/main"/>
                      </a:ext>
                    </a:extLst>
                  </pic:spPr>
                </pic:pic>
              </a:graphicData>
            </a:graphic>
          </wp:inline>
        </w:drawing>
      </w:r>
    </w:p>
    <w:p w14:paraId="507B8EA8" w14:textId="77777777" w:rsidR="00AA3A5F" w:rsidRPr="00B25A22" w:rsidRDefault="00AA3A5F" w:rsidP="00AA3A5F">
      <w:pPr>
        <w:spacing w:after="120"/>
        <w:rPr>
          <w:rFonts w:cs="Times New Roman"/>
          <w:sz w:val="22"/>
          <w:lang w:val="cs-CZ"/>
        </w:rPr>
      </w:pPr>
    </w:p>
    <w:p w14:paraId="2F1CA99C" w14:textId="77777777" w:rsidR="00AA3A5F" w:rsidRPr="00B25A22" w:rsidRDefault="00AA3A5F" w:rsidP="002921F0">
      <w:pPr>
        <w:pStyle w:val="UZEINormaln"/>
      </w:pPr>
      <w:r w:rsidRPr="00B25A22">
        <w:t>Zhodnocení bylo provedeno na základě následujících ukazatelů dle metodického pokynu Evropské Komise - 1) změna celkového objemu produkce uvedené na trh, 2) změna jednotkové produkce uvedené na trh, 3) počet osob, které absolvovaly celou vzdělávací činnost/program a 4) počet podniků využívajících poradenské služby.</w:t>
      </w:r>
    </w:p>
    <w:p w14:paraId="2249DB1A" w14:textId="2771DBC8" w:rsidR="00AA3A5F" w:rsidRPr="0039089B" w:rsidRDefault="00AA3A5F" w:rsidP="0039089B">
      <w:pPr>
        <w:pStyle w:val="UZEINormaln"/>
      </w:pPr>
      <w:r w:rsidRPr="0039089B">
        <w:rPr>
          <w:u w:val="single"/>
        </w:rPr>
        <w:t xml:space="preserve">1) Celkový objem produkce OP uvedené na trh v roce 2009 činil 133,84 tis. t, v roce 2010 klesl na 126,20 tis. t a v roce 2011 se zvýšil na 134,23 tis. t </w:t>
      </w:r>
      <w:r w:rsidRPr="0039089B">
        <w:rPr>
          <w:b/>
          <w:u w:val="single"/>
        </w:rPr>
        <w:t>(viz Tab. P1.2)</w:t>
      </w:r>
      <w:r w:rsidRPr="0039089B">
        <w:rPr>
          <w:u w:val="single"/>
        </w:rPr>
        <w:t>. Objem produkce uvedené na trh prostřednictvím OP</w:t>
      </w:r>
      <w:r w:rsidRPr="00B25A22">
        <w:t xml:space="preserve"> v roce 2009 se zvýšil na 119,2 % skutečnosti roku 2008 (v celé ČR na 100,2 %). Následující rok došlo k mírnému snížení na 112,4 % (v ČR 70,2 %) a v roce 2011 se zvýšil objem produkce na 119,6 % skutečnosti roku 2008 (v ČR 91,7 %).</w:t>
      </w:r>
    </w:p>
    <w:p w14:paraId="06672EBE" w14:textId="77777777" w:rsidR="00AA3A5F" w:rsidRPr="0039089B" w:rsidRDefault="00AA3A5F" w:rsidP="00AA3A5F">
      <w:pPr>
        <w:rPr>
          <w:rFonts w:cs="Times New Roman"/>
          <w:b/>
          <w:bCs/>
          <w:color w:val="000000"/>
          <w:sz w:val="20"/>
          <w:szCs w:val="20"/>
          <w:lang w:val="cs-CZ"/>
        </w:rPr>
      </w:pPr>
      <w:r w:rsidRPr="0039089B">
        <w:rPr>
          <w:rFonts w:cs="Times New Roman"/>
          <w:b/>
          <w:bCs/>
          <w:color w:val="000000"/>
          <w:sz w:val="20"/>
          <w:szCs w:val="20"/>
          <w:lang w:val="cs-CZ"/>
        </w:rPr>
        <w:t>Tab. P1.2: Vývoj produkce ovoce a zeleniny uvedené na trh organizacemi producentů a produkce ČR</w:t>
      </w:r>
    </w:p>
    <w:tbl>
      <w:tblPr>
        <w:tblW w:w="9201" w:type="dxa"/>
        <w:tblInd w:w="47" w:type="dxa"/>
        <w:tblLayout w:type="fixed"/>
        <w:tblCellMar>
          <w:left w:w="70" w:type="dxa"/>
          <w:right w:w="70" w:type="dxa"/>
        </w:tblCellMar>
        <w:tblLook w:val="0000" w:firstRow="0" w:lastRow="0" w:firstColumn="0" w:lastColumn="0" w:noHBand="0" w:noVBand="0"/>
      </w:tblPr>
      <w:tblGrid>
        <w:gridCol w:w="2883"/>
        <w:gridCol w:w="858"/>
        <w:gridCol w:w="1060"/>
        <w:gridCol w:w="1061"/>
        <w:gridCol w:w="1060"/>
        <w:gridCol w:w="1061"/>
        <w:gridCol w:w="1218"/>
      </w:tblGrid>
      <w:tr w:rsidR="00AA3A5F" w:rsidRPr="0039089B" w14:paraId="0176A22D" w14:textId="77777777" w:rsidTr="007A68D5">
        <w:trPr>
          <w:trHeight w:val="297"/>
        </w:trPr>
        <w:tc>
          <w:tcPr>
            <w:tcW w:w="2883" w:type="dxa"/>
            <w:tcBorders>
              <w:top w:val="double" w:sz="6" w:space="0" w:color="auto"/>
              <w:left w:val="double" w:sz="6" w:space="0" w:color="auto"/>
              <w:bottom w:val="single" w:sz="12" w:space="0" w:color="auto"/>
              <w:right w:val="single" w:sz="8" w:space="0" w:color="auto"/>
            </w:tcBorders>
            <w:shd w:val="clear" w:color="auto" w:fill="auto"/>
            <w:noWrap/>
            <w:vAlign w:val="center"/>
          </w:tcPr>
          <w:p w14:paraId="3F78EEA3" w14:textId="77777777" w:rsidR="00AA3A5F" w:rsidRPr="0039089B" w:rsidRDefault="00AA3A5F" w:rsidP="007A68D5">
            <w:pPr>
              <w:spacing w:line="240" w:lineRule="atLeast"/>
              <w:rPr>
                <w:rFonts w:cs="Times New Roman"/>
                <w:b/>
                <w:bCs/>
                <w:sz w:val="20"/>
                <w:szCs w:val="20"/>
                <w:lang w:val="cs-CZ"/>
              </w:rPr>
            </w:pPr>
            <w:r w:rsidRPr="0039089B">
              <w:rPr>
                <w:rFonts w:cs="Times New Roman"/>
                <w:b/>
                <w:bCs/>
                <w:sz w:val="20"/>
                <w:szCs w:val="20"/>
                <w:lang w:val="cs-CZ"/>
              </w:rPr>
              <w:t>Ukazatel</w:t>
            </w:r>
          </w:p>
        </w:tc>
        <w:tc>
          <w:tcPr>
            <w:tcW w:w="858" w:type="dxa"/>
            <w:tcBorders>
              <w:top w:val="double" w:sz="6" w:space="0" w:color="auto"/>
              <w:left w:val="nil"/>
              <w:bottom w:val="single" w:sz="12" w:space="0" w:color="auto"/>
              <w:right w:val="single" w:sz="4" w:space="0" w:color="auto"/>
            </w:tcBorders>
            <w:shd w:val="clear" w:color="auto" w:fill="auto"/>
            <w:noWrap/>
            <w:vAlign w:val="center"/>
          </w:tcPr>
          <w:p w14:paraId="1D67C539" w14:textId="77777777" w:rsidR="00AA3A5F" w:rsidRPr="0039089B" w:rsidRDefault="00AA3A5F" w:rsidP="0039089B">
            <w:pPr>
              <w:spacing w:line="240" w:lineRule="atLeast"/>
              <w:jc w:val="center"/>
              <w:rPr>
                <w:rFonts w:cs="Times New Roman"/>
                <w:b/>
                <w:bCs/>
                <w:sz w:val="20"/>
                <w:szCs w:val="20"/>
                <w:lang w:val="cs-CZ"/>
              </w:rPr>
            </w:pPr>
            <w:r w:rsidRPr="0039089B">
              <w:rPr>
                <w:rFonts w:cs="Times New Roman"/>
                <w:b/>
                <w:bCs/>
                <w:sz w:val="20"/>
                <w:szCs w:val="20"/>
                <w:lang w:val="cs-CZ"/>
              </w:rPr>
              <w:t>MJ</w:t>
            </w:r>
          </w:p>
        </w:tc>
        <w:tc>
          <w:tcPr>
            <w:tcW w:w="1060" w:type="dxa"/>
            <w:tcBorders>
              <w:top w:val="double" w:sz="6" w:space="0" w:color="auto"/>
              <w:left w:val="nil"/>
              <w:bottom w:val="single" w:sz="12" w:space="0" w:color="auto"/>
              <w:right w:val="single" w:sz="4" w:space="0" w:color="auto"/>
            </w:tcBorders>
            <w:shd w:val="clear" w:color="auto" w:fill="auto"/>
            <w:noWrap/>
            <w:vAlign w:val="center"/>
          </w:tcPr>
          <w:p w14:paraId="3105E5AA" w14:textId="77777777" w:rsidR="00AA3A5F" w:rsidRPr="0039089B" w:rsidRDefault="00AA3A5F" w:rsidP="0039089B">
            <w:pPr>
              <w:spacing w:line="240" w:lineRule="atLeast"/>
              <w:jc w:val="center"/>
              <w:rPr>
                <w:rFonts w:cs="Times New Roman"/>
                <w:b/>
                <w:bCs/>
                <w:sz w:val="20"/>
                <w:szCs w:val="20"/>
                <w:lang w:val="cs-CZ"/>
              </w:rPr>
            </w:pPr>
            <w:r w:rsidRPr="0039089B">
              <w:rPr>
                <w:rFonts w:cs="Times New Roman"/>
                <w:b/>
                <w:bCs/>
                <w:sz w:val="20"/>
                <w:szCs w:val="20"/>
                <w:lang w:val="cs-CZ"/>
              </w:rPr>
              <w:t>2008</w:t>
            </w:r>
          </w:p>
        </w:tc>
        <w:tc>
          <w:tcPr>
            <w:tcW w:w="1061" w:type="dxa"/>
            <w:tcBorders>
              <w:top w:val="double" w:sz="6" w:space="0" w:color="auto"/>
              <w:left w:val="nil"/>
              <w:bottom w:val="single" w:sz="12" w:space="0" w:color="auto"/>
              <w:right w:val="single" w:sz="4" w:space="0" w:color="auto"/>
            </w:tcBorders>
            <w:shd w:val="clear" w:color="auto" w:fill="auto"/>
            <w:noWrap/>
            <w:vAlign w:val="center"/>
          </w:tcPr>
          <w:p w14:paraId="4A4868F3" w14:textId="77777777" w:rsidR="00AA3A5F" w:rsidRPr="0039089B" w:rsidRDefault="00AA3A5F" w:rsidP="0039089B">
            <w:pPr>
              <w:spacing w:line="240" w:lineRule="atLeast"/>
              <w:jc w:val="center"/>
              <w:rPr>
                <w:rFonts w:cs="Times New Roman"/>
                <w:b/>
                <w:bCs/>
                <w:sz w:val="20"/>
                <w:szCs w:val="20"/>
                <w:lang w:val="cs-CZ"/>
              </w:rPr>
            </w:pPr>
            <w:r w:rsidRPr="0039089B">
              <w:rPr>
                <w:rFonts w:cs="Times New Roman"/>
                <w:b/>
                <w:bCs/>
                <w:sz w:val="20"/>
                <w:szCs w:val="20"/>
                <w:lang w:val="cs-CZ"/>
              </w:rPr>
              <w:t>2009</w:t>
            </w:r>
          </w:p>
        </w:tc>
        <w:tc>
          <w:tcPr>
            <w:tcW w:w="1060" w:type="dxa"/>
            <w:tcBorders>
              <w:top w:val="double" w:sz="6" w:space="0" w:color="auto"/>
              <w:left w:val="nil"/>
              <w:bottom w:val="single" w:sz="12" w:space="0" w:color="auto"/>
              <w:right w:val="single" w:sz="4" w:space="0" w:color="auto"/>
            </w:tcBorders>
            <w:shd w:val="clear" w:color="auto" w:fill="auto"/>
            <w:noWrap/>
            <w:vAlign w:val="center"/>
          </w:tcPr>
          <w:p w14:paraId="56EF02F9" w14:textId="77777777" w:rsidR="00AA3A5F" w:rsidRPr="0039089B" w:rsidRDefault="00AA3A5F" w:rsidP="0039089B">
            <w:pPr>
              <w:spacing w:line="240" w:lineRule="atLeast"/>
              <w:jc w:val="center"/>
              <w:rPr>
                <w:rFonts w:cs="Times New Roman"/>
                <w:b/>
                <w:bCs/>
                <w:sz w:val="20"/>
                <w:szCs w:val="20"/>
                <w:lang w:val="cs-CZ"/>
              </w:rPr>
            </w:pPr>
            <w:r w:rsidRPr="0039089B">
              <w:rPr>
                <w:rFonts w:cs="Times New Roman"/>
                <w:b/>
                <w:bCs/>
                <w:sz w:val="20"/>
                <w:szCs w:val="20"/>
                <w:lang w:val="cs-CZ"/>
              </w:rPr>
              <w:t>2010</w:t>
            </w:r>
          </w:p>
        </w:tc>
        <w:tc>
          <w:tcPr>
            <w:tcW w:w="1061" w:type="dxa"/>
            <w:tcBorders>
              <w:top w:val="double" w:sz="6" w:space="0" w:color="auto"/>
              <w:left w:val="nil"/>
              <w:bottom w:val="single" w:sz="12" w:space="0" w:color="auto"/>
              <w:right w:val="single" w:sz="12" w:space="0" w:color="auto"/>
            </w:tcBorders>
            <w:shd w:val="clear" w:color="auto" w:fill="auto"/>
            <w:noWrap/>
            <w:vAlign w:val="center"/>
          </w:tcPr>
          <w:p w14:paraId="2A51FC5A" w14:textId="77777777" w:rsidR="00AA3A5F" w:rsidRPr="0039089B" w:rsidRDefault="00AA3A5F" w:rsidP="0039089B">
            <w:pPr>
              <w:spacing w:line="240" w:lineRule="atLeast"/>
              <w:jc w:val="center"/>
              <w:rPr>
                <w:rFonts w:cs="Times New Roman"/>
                <w:b/>
                <w:bCs/>
                <w:sz w:val="20"/>
                <w:szCs w:val="20"/>
                <w:lang w:val="cs-CZ"/>
              </w:rPr>
            </w:pPr>
            <w:r w:rsidRPr="0039089B">
              <w:rPr>
                <w:rFonts w:cs="Times New Roman"/>
                <w:b/>
                <w:bCs/>
                <w:sz w:val="20"/>
                <w:szCs w:val="20"/>
                <w:lang w:val="cs-CZ"/>
              </w:rPr>
              <w:t>2011</w:t>
            </w:r>
          </w:p>
        </w:tc>
        <w:tc>
          <w:tcPr>
            <w:tcW w:w="1218" w:type="dxa"/>
            <w:tcBorders>
              <w:top w:val="double" w:sz="6" w:space="0" w:color="auto"/>
              <w:left w:val="single" w:sz="12" w:space="0" w:color="auto"/>
              <w:bottom w:val="single" w:sz="12" w:space="0" w:color="auto"/>
              <w:right w:val="double" w:sz="6" w:space="0" w:color="auto"/>
            </w:tcBorders>
            <w:vAlign w:val="center"/>
          </w:tcPr>
          <w:p w14:paraId="264ABFC5" w14:textId="77777777" w:rsidR="00AA3A5F" w:rsidRPr="0039089B" w:rsidRDefault="00AA3A5F" w:rsidP="0039089B">
            <w:pPr>
              <w:spacing w:line="240" w:lineRule="atLeast"/>
              <w:jc w:val="center"/>
              <w:rPr>
                <w:rFonts w:cs="Times New Roman"/>
                <w:b/>
                <w:bCs/>
                <w:sz w:val="20"/>
                <w:szCs w:val="20"/>
                <w:lang w:val="cs-CZ"/>
              </w:rPr>
            </w:pPr>
            <w:r w:rsidRPr="0039089B">
              <w:rPr>
                <w:rFonts w:cs="Times New Roman"/>
                <w:b/>
                <w:bCs/>
                <w:sz w:val="20"/>
                <w:szCs w:val="20"/>
                <w:lang w:val="cs-CZ"/>
              </w:rPr>
              <w:t>2009 - 2011</w:t>
            </w:r>
          </w:p>
          <w:p w14:paraId="1CABAF73" w14:textId="77777777" w:rsidR="00AA3A5F" w:rsidRPr="0039089B" w:rsidRDefault="00AA3A5F" w:rsidP="0039089B">
            <w:pPr>
              <w:spacing w:line="240" w:lineRule="atLeast"/>
              <w:jc w:val="center"/>
              <w:rPr>
                <w:rFonts w:cs="Times New Roman"/>
                <w:b/>
                <w:bCs/>
                <w:sz w:val="20"/>
                <w:szCs w:val="20"/>
                <w:lang w:val="cs-CZ"/>
              </w:rPr>
            </w:pPr>
            <w:r w:rsidRPr="0039089B">
              <w:rPr>
                <w:rFonts w:cs="Times New Roman"/>
                <w:b/>
                <w:bCs/>
                <w:sz w:val="20"/>
                <w:szCs w:val="20"/>
                <w:lang w:val="cs-CZ"/>
              </w:rPr>
              <w:t>průměr</w:t>
            </w:r>
          </w:p>
        </w:tc>
      </w:tr>
      <w:tr w:rsidR="00AA3A5F" w:rsidRPr="0039089B" w14:paraId="5567C13B" w14:textId="77777777" w:rsidTr="007A68D5">
        <w:trPr>
          <w:trHeight w:val="355"/>
        </w:trPr>
        <w:tc>
          <w:tcPr>
            <w:tcW w:w="2883" w:type="dxa"/>
            <w:tcBorders>
              <w:top w:val="single" w:sz="12" w:space="0" w:color="auto"/>
              <w:left w:val="double" w:sz="6" w:space="0" w:color="auto"/>
              <w:bottom w:val="single" w:sz="4" w:space="0" w:color="auto"/>
              <w:right w:val="single" w:sz="8" w:space="0" w:color="auto"/>
            </w:tcBorders>
            <w:shd w:val="clear" w:color="auto" w:fill="auto"/>
            <w:noWrap/>
            <w:vAlign w:val="bottom"/>
          </w:tcPr>
          <w:p w14:paraId="3F385231" w14:textId="77777777" w:rsidR="00AA3A5F" w:rsidRPr="0039089B" w:rsidRDefault="00AA3A5F" w:rsidP="007A68D5">
            <w:pPr>
              <w:spacing w:line="240" w:lineRule="atLeast"/>
              <w:rPr>
                <w:rFonts w:cs="Times New Roman"/>
                <w:sz w:val="20"/>
                <w:szCs w:val="20"/>
                <w:lang w:val="cs-CZ"/>
              </w:rPr>
            </w:pPr>
            <w:r w:rsidRPr="0039089B">
              <w:rPr>
                <w:rFonts w:cs="Times New Roman"/>
                <w:sz w:val="20"/>
                <w:szCs w:val="20"/>
                <w:lang w:val="cs-CZ"/>
              </w:rPr>
              <w:t>Produkce uvedená na trh OP</w:t>
            </w:r>
          </w:p>
        </w:tc>
        <w:tc>
          <w:tcPr>
            <w:tcW w:w="858" w:type="dxa"/>
            <w:tcBorders>
              <w:top w:val="single" w:sz="12" w:space="0" w:color="auto"/>
              <w:left w:val="nil"/>
              <w:bottom w:val="single" w:sz="4" w:space="0" w:color="auto"/>
              <w:right w:val="single" w:sz="4" w:space="0" w:color="auto"/>
            </w:tcBorders>
            <w:shd w:val="clear" w:color="auto" w:fill="auto"/>
            <w:noWrap/>
            <w:vAlign w:val="bottom"/>
          </w:tcPr>
          <w:p w14:paraId="6EB60455" w14:textId="77777777" w:rsidR="00AA3A5F" w:rsidRPr="0039089B" w:rsidRDefault="00AA3A5F" w:rsidP="0039089B">
            <w:pPr>
              <w:spacing w:line="240" w:lineRule="atLeast"/>
              <w:jc w:val="center"/>
              <w:rPr>
                <w:rFonts w:cs="Times New Roman"/>
                <w:sz w:val="20"/>
                <w:szCs w:val="20"/>
                <w:lang w:val="cs-CZ"/>
              </w:rPr>
            </w:pPr>
            <w:r w:rsidRPr="0039089B">
              <w:rPr>
                <w:rFonts w:cs="Times New Roman"/>
                <w:sz w:val="20"/>
                <w:szCs w:val="20"/>
                <w:lang w:val="cs-CZ"/>
              </w:rPr>
              <w:t>tis. t</w:t>
            </w:r>
          </w:p>
        </w:tc>
        <w:tc>
          <w:tcPr>
            <w:tcW w:w="1060" w:type="dxa"/>
            <w:tcBorders>
              <w:top w:val="single" w:sz="12" w:space="0" w:color="auto"/>
              <w:left w:val="nil"/>
              <w:bottom w:val="single" w:sz="4" w:space="0" w:color="auto"/>
              <w:right w:val="single" w:sz="4" w:space="0" w:color="auto"/>
            </w:tcBorders>
            <w:shd w:val="clear" w:color="auto" w:fill="auto"/>
            <w:noWrap/>
            <w:vAlign w:val="center"/>
          </w:tcPr>
          <w:p w14:paraId="57D110B6" w14:textId="77777777" w:rsidR="00AA3A5F" w:rsidRPr="0039089B" w:rsidRDefault="00AA3A5F" w:rsidP="0039089B">
            <w:pPr>
              <w:spacing w:line="240" w:lineRule="atLeast"/>
              <w:ind w:right="57"/>
              <w:jc w:val="center"/>
              <w:rPr>
                <w:rFonts w:cs="Times New Roman"/>
                <w:sz w:val="20"/>
                <w:szCs w:val="20"/>
                <w:lang w:val="cs-CZ"/>
              </w:rPr>
            </w:pPr>
            <w:r w:rsidRPr="0039089B">
              <w:rPr>
                <w:rFonts w:cs="Times New Roman"/>
                <w:sz w:val="20"/>
                <w:szCs w:val="20"/>
                <w:lang w:val="cs-CZ"/>
              </w:rPr>
              <w:t>112,27</w:t>
            </w:r>
          </w:p>
        </w:tc>
        <w:tc>
          <w:tcPr>
            <w:tcW w:w="1061" w:type="dxa"/>
            <w:tcBorders>
              <w:top w:val="single" w:sz="12" w:space="0" w:color="auto"/>
              <w:left w:val="nil"/>
              <w:bottom w:val="single" w:sz="4" w:space="0" w:color="auto"/>
              <w:right w:val="single" w:sz="4" w:space="0" w:color="auto"/>
            </w:tcBorders>
            <w:shd w:val="clear" w:color="auto" w:fill="auto"/>
            <w:noWrap/>
            <w:vAlign w:val="center"/>
          </w:tcPr>
          <w:p w14:paraId="0A7AFC3F" w14:textId="77777777" w:rsidR="00AA3A5F" w:rsidRPr="0039089B" w:rsidRDefault="00AA3A5F" w:rsidP="0039089B">
            <w:pPr>
              <w:spacing w:line="240" w:lineRule="atLeast"/>
              <w:ind w:right="57"/>
              <w:jc w:val="center"/>
              <w:rPr>
                <w:rFonts w:cs="Times New Roman"/>
                <w:sz w:val="20"/>
                <w:szCs w:val="20"/>
                <w:lang w:val="cs-CZ"/>
              </w:rPr>
            </w:pPr>
            <w:r w:rsidRPr="0039089B">
              <w:rPr>
                <w:rFonts w:cs="Times New Roman"/>
                <w:sz w:val="20"/>
                <w:szCs w:val="20"/>
                <w:lang w:val="cs-CZ"/>
              </w:rPr>
              <w:t>133,84</w:t>
            </w:r>
          </w:p>
        </w:tc>
        <w:tc>
          <w:tcPr>
            <w:tcW w:w="1060" w:type="dxa"/>
            <w:tcBorders>
              <w:top w:val="single" w:sz="12" w:space="0" w:color="auto"/>
              <w:left w:val="nil"/>
              <w:bottom w:val="single" w:sz="4" w:space="0" w:color="auto"/>
              <w:right w:val="single" w:sz="4" w:space="0" w:color="auto"/>
            </w:tcBorders>
            <w:shd w:val="clear" w:color="auto" w:fill="auto"/>
            <w:noWrap/>
            <w:vAlign w:val="center"/>
          </w:tcPr>
          <w:p w14:paraId="2B2BC678" w14:textId="77777777" w:rsidR="00AA3A5F" w:rsidRPr="0039089B" w:rsidRDefault="00AA3A5F" w:rsidP="0039089B">
            <w:pPr>
              <w:spacing w:line="240" w:lineRule="atLeast"/>
              <w:ind w:right="57"/>
              <w:jc w:val="center"/>
              <w:rPr>
                <w:rFonts w:cs="Times New Roman"/>
                <w:sz w:val="20"/>
                <w:szCs w:val="20"/>
                <w:lang w:val="cs-CZ"/>
              </w:rPr>
            </w:pPr>
            <w:r w:rsidRPr="0039089B">
              <w:rPr>
                <w:rFonts w:cs="Times New Roman"/>
                <w:sz w:val="20"/>
                <w:szCs w:val="20"/>
                <w:lang w:val="cs-CZ"/>
              </w:rPr>
              <w:t>126,20</w:t>
            </w:r>
          </w:p>
        </w:tc>
        <w:tc>
          <w:tcPr>
            <w:tcW w:w="1061" w:type="dxa"/>
            <w:tcBorders>
              <w:top w:val="single" w:sz="12" w:space="0" w:color="auto"/>
              <w:left w:val="nil"/>
              <w:bottom w:val="single" w:sz="4" w:space="0" w:color="auto"/>
              <w:right w:val="single" w:sz="12" w:space="0" w:color="auto"/>
            </w:tcBorders>
            <w:shd w:val="clear" w:color="auto" w:fill="auto"/>
            <w:noWrap/>
            <w:vAlign w:val="center"/>
          </w:tcPr>
          <w:p w14:paraId="4969AB4E" w14:textId="77777777" w:rsidR="00AA3A5F" w:rsidRPr="0039089B" w:rsidRDefault="00AA3A5F" w:rsidP="0039089B">
            <w:pPr>
              <w:spacing w:line="240" w:lineRule="atLeast"/>
              <w:ind w:right="57"/>
              <w:jc w:val="center"/>
              <w:rPr>
                <w:rFonts w:cs="Times New Roman"/>
                <w:sz w:val="20"/>
                <w:szCs w:val="20"/>
                <w:lang w:val="cs-CZ"/>
              </w:rPr>
            </w:pPr>
            <w:r w:rsidRPr="0039089B">
              <w:rPr>
                <w:rFonts w:cs="Times New Roman"/>
                <w:sz w:val="20"/>
                <w:szCs w:val="20"/>
                <w:lang w:val="cs-CZ"/>
              </w:rPr>
              <w:t>134,23</w:t>
            </w:r>
          </w:p>
        </w:tc>
        <w:tc>
          <w:tcPr>
            <w:tcW w:w="1218" w:type="dxa"/>
            <w:tcBorders>
              <w:top w:val="single" w:sz="12" w:space="0" w:color="auto"/>
              <w:left w:val="single" w:sz="12" w:space="0" w:color="auto"/>
              <w:bottom w:val="single" w:sz="4" w:space="0" w:color="auto"/>
              <w:right w:val="double" w:sz="6" w:space="0" w:color="auto"/>
            </w:tcBorders>
            <w:vAlign w:val="center"/>
          </w:tcPr>
          <w:p w14:paraId="75DDB4A3" w14:textId="77777777" w:rsidR="00AA3A5F" w:rsidRPr="0039089B" w:rsidRDefault="00AA3A5F" w:rsidP="0039089B">
            <w:pPr>
              <w:spacing w:line="240" w:lineRule="atLeast"/>
              <w:ind w:right="57"/>
              <w:jc w:val="center"/>
              <w:rPr>
                <w:rFonts w:cs="Times New Roman"/>
                <w:sz w:val="20"/>
                <w:szCs w:val="20"/>
                <w:lang w:val="cs-CZ"/>
              </w:rPr>
            </w:pPr>
            <w:r w:rsidRPr="0039089B">
              <w:rPr>
                <w:rFonts w:cs="Times New Roman"/>
                <w:sz w:val="20"/>
                <w:szCs w:val="20"/>
                <w:lang w:val="cs-CZ"/>
              </w:rPr>
              <w:t>131,4</w:t>
            </w:r>
          </w:p>
        </w:tc>
      </w:tr>
      <w:tr w:rsidR="00AA3A5F" w:rsidRPr="0039089B" w14:paraId="2B2EF334" w14:textId="77777777" w:rsidTr="007A68D5">
        <w:trPr>
          <w:trHeight w:val="355"/>
        </w:trPr>
        <w:tc>
          <w:tcPr>
            <w:tcW w:w="2883" w:type="dxa"/>
            <w:tcBorders>
              <w:top w:val="nil"/>
              <w:left w:val="double" w:sz="6" w:space="0" w:color="auto"/>
              <w:bottom w:val="single" w:sz="4" w:space="0" w:color="auto"/>
              <w:right w:val="single" w:sz="8" w:space="0" w:color="auto"/>
            </w:tcBorders>
            <w:shd w:val="clear" w:color="auto" w:fill="auto"/>
            <w:noWrap/>
            <w:vAlign w:val="bottom"/>
          </w:tcPr>
          <w:p w14:paraId="086CE38E" w14:textId="77777777" w:rsidR="00AA3A5F" w:rsidRPr="0039089B" w:rsidRDefault="00AA3A5F" w:rsidP="007A68D5">
            <w:pPr>
              <w:spacing w:line="240" w:lineRule="atLeast"/>
              <w:rPr>
                <w:rFonts w:cs="Times New Roman"/>
                <w:sz w:val="20"/>
                <w:szCs w:val="20"/>
                <w:lang w:val="cs-CZ"/>
              </w:rPr>
            </w:pPr>
            <w:r w:rsidRPr="0039089B">
              <w:rPr>
                <w:rFonts w:cs="Times New Roman"/>
                <w:sz w:val="20"/>
                <w:szCs w:val="20"/>
                <w:lang w:val="cs-CZ"/>
              </w:rPr>
              <w:t>Produkce ČR</w:t>
            </w:r>
          </w:p>
        </w:tc>
        <w:tc>
          <w:tcPr>
            <w:tcW w:w="858" w:type="dxa"/>
            <w:tcBorders>
              <w:top w:val="nil"/>
              <w:left w:val="nil"/>
              <w:bottom w:val="single" w:sz="4" w:space="0" w:color="auto"/>
              <w:right w:val="single" w:sz="4" w:space="0" w:color="auto"/>
            </w:tcBorders>
            <w:shd w:val="clear" w:color="auto" w:fill="auto"/>
            <w:noWrap/>
            <w:vAlign w:val="bottom"/>
          </w:tcPr>
          <w:p w14:paraId="5462805F" w14:textId="77777777" w:rsidR="00AA3A5F" w:rsidRPr="0039089B" w:rsidRDefault="00AA3A5F" w:rsidP="0039089B">
            <w:pPr>
              <w:spacing w:line="240" w:lineRule="atLeast"/>
              <w:jc w:val="center"/>
              <w:rPr>
                <w:rFonts w:cs="Times New Roman"/>
                <w:sz w:val="20"/>
                <w:szCs w:val="20"/>
                <w:lang w:val="cs-CZ"/>
              </w:rPr>
            </w:pPr>
            <w:r w:rsidRPr="0039089B">
              <w:rPr>
                <w:rFonts w:cs="Times New Roman"/>
                <w:sz w:val="20"/>
                <w:szCs w:val="20"/>
                <w:lang w:val="cs-CZ"/>
              </w:rPr>
              <w:t>tis. t</w:t>
            </w:r>
          </w:p>
        </w:tc>
        <w:tc>
          <w:tcPr>
            <w:tcW w:w="1060" w:type="dxa"/>
            <w:tcBorders>
              <w:top w:val="nil"/>
              <w:left w:val="nil"/>
              <w:bottom w:val="single" w:sz="4" w:space="0" w:color="auto"/>
              <w:right w:val="single" w:sz="4" w:space="0" w:color="auto"/>
            </w:tcBorders>
            <w:shd w:val="clear" w:color="auto" w:fill="auto"/>
            <w:noWrap/>
            <w:vAlign w:val="center"/>
          </w:tcPr>
          <w:p w14:paraId="61E3A8C8" w14:textId="77777777" w:rsidR="00AA3A5F" w:rsidRPr="0039089B" w:rsidRDefault="00AA3A5F" w:rsidP="0039089B">
            <w:pPr>
              <w:spacing w:line="240" w:lineRule="atLeast"/>
              <w:ind w:right="57"/>
              <w:jc w:val="center"/>
              <w:rPr>
                <w:rFonts w:cs="Times New Roman"/>
                <w:sz w:val="20"/>
                <w:szCs w:val="20"/>
                <w:lang w:val="cs-CZ"/>
              </w:rPr>
            </w:pPr>
            <w:r w:rsidRPr="0039089B">
              <w:rPr>
                <w:rFonts w:cs="Times New Roman"/>
                <w:sz w:val="20"/>
                <w:szCs w:val="20"/>
                <w:lang w:val="cs-CZ"/>
              </w:rPr>
              <w:t>593,36</w:t>
            </w:r>
          </w:p>
        </w:tc>
        <w:tc>
          <w:tcPr>
            <w:tcW w:w="1061" w:type="dxa"/>
            <w:tcBorders>
              <w:top w:val="nil"/>
              <w:left w:val="nil"/>
              <w:bottom w:val="single" w:sz="4" w:space="0" w:color="auto"/>
              <w:right w:val="single" w:sz="4" w:space="0" w:color="auto"/>
            </w:tcBorders>
            <w:shd w:val="clear" w:color="auto" w:fill="auto"/>
            <w:noWrap/>
            <w:vAlign w:val="center"/>
          </w:tcPr>
          <w:p w14:paraId="75CEEC8D" w14:textId="77777777" w:rsidR="00AA3A5F" w:rsidRPr="0039089B" w:rsidRDefault="00AA3A5F" w:rsidP="0039089B">
            <w:pPr>
              <w:spacing w:line="240" w:lineRule="atLeast"/>
              <w:ind w:right="57"/>
              <w:jc w:val="center"/>
              <w:rPr>
                <w:rFonts w:cs="Times New Roman"/>
                <w:sz w:val="20"/>
                <w:szCs w:val="20"/>
                <w:lang w:val="cs-CZ"/>
              </w:rPr>
            </w:pPr>
            <w:r w:rsidRPr="0039089B">
              <w:rPr>
                <w:rFonts w:cs="Times New Roman"/>
                <w:sz w:val="20"/>
                <w:szCs w:val="20"/>
                <w:lang w:val="cs-CZ"/>
              </w:rPr>
              <w:t>594,72</w:t>
            </w:r>
          </w:p>
        </w:tc>
        <w:tc>
          <w:tcPr>
            <w:tcW w:w="1060" w:type="dxa"/>
            <w:tcBorders>
              <w:top w:val="nil"/>
              <w:left w:val="nil"/>
              <w:bottom w:val="single" w:sz="4" w:space="0" w:color="auto"/>
              <w:right w:val="single" w:sz="4" w:space="0" w:color="auto"/>
            </w:tcBorders>
            <w:shd w:val="clear" w:color="auto" w:fill="auto"/>
            <w:noWrap/>
            <w:vAlign w:val="center"/>
          </w:tcPr>
          <w:p w14:paraId="1E55CCA5" w14:textId="77777777" w:rsidR="00AA3A5F" w:rsidRPr="0039089B" w:rsidRDefault="00AA3A5F" w:rsidP="0039089B">
            <w:pPr>
              <w:spacing w:line="240" w:lineRule="atLeast"/>
              <w:ind w:right="57"/>
              <w:jc w:val="center"/>
              <w:rPr>
                <w:rFonts w:cs="Times New Roman"/>
                <w:sz w:val="20"/>
                <w:szCs w:val="20"/>
                <w:lang w:val="cs-CZ"/>
              </w:rPr>
            </w:pPr>
            <w:r w:rsidRPr="0039089B">
              <w:rPr>
                <w:rFonts w:cs="Times New Roman"/>
                <w:sz w:val="20"/>
                <w:szCs w:val="20"/>
                <w:lang w:val="cs-CZ"/>
              </w:rPr>
              <w:t>416,43</w:t>
            </w:r>
          </w:p>
        </w:tc>
        <w:tc>
          <w:tcPr>
            <w:tcW w:w="1061" w:type="dxa"/>
            <w:tcBorders>
              <w:top w:val="nil"/>
              <w:left w:val="nil"/>
              <w:bottom w:val="single" w:sz="4" w:space="0" w:color="auto"/>
              <w:right w:val="single" w:sz="12" w:space="0" w:color="auto"/>
            </w:tcBorders>
            <w:shd w:val="clear" w:color="auto" w:fill="auto"/>
            <w:noWrap/>
            <w:vAlign w:val="center"/>
          </w:tcPr>
          <w:p w14:paraId="5C988D50" w14:textId="77777777" w:rsidR="00AA3A5F" w:rsidRPr="0039089B" w:rsidRDefault="00AA3A5F" w:rsidP="0039089B">
            <w:pPr>
              <w:spacing w:line="240" w:lineRule="atLeast"/>
              <w:ind w:right="57"/>
              <w:jc w:val="center"/>
              <w:rPr>
                <w:rFonts w:cs="Times New Roman"/>
                <w:sz w:val="20"/>
                <w:szCs w:val="20"/>
                <w:lang w:val="cs-CZ"/>
              </w:rPr>
            </w:pPr>
            <w:r w:rsidRPr="0039089B">
              <w:rPr>
                <w:rFonts w:cs="Times New Roman"/>
                <w:sz w:val="20"/>
                <w:szCs w:val="20"/>
                <w:lang w:val="cs-CZ"/>
              </w:rPr>
              <w:t>544,33</w:t>
            </w:r>
          </w:p>
        </w:tc>
        <w:tc>
          <w:tcPr>
            <w:tcW w:w="1218" w:type="dxa"/>
            <w:tcBorders>
              <w:top w:val="nil"/>
              <w:left w:val="single" w:sz="12" w:space="0" w:color="auto"/>
              <w:bottom w:val="single" w:sz="4" w:space="0" w:color="auto"/>
              <w:right w:val="double" w:sz="6" w:space="0" w:color="auto"/>
            </w:tcBorders>
            <w:vAlign w:val="center"/>
          </w:tcPr>
          <w:p w14:paraId="637218D1" w14:textId="77777777" w:rsidR="00AA3A5F" w:rsidRPr="0039089B" w:rsidRDefault="00AA3A5F" w:rsidP="0039089B">
            <w:pPr>
              <w:spacing w:line="240" w:lineRule="atLeast"/>
              <w:ind w:right="57"/>
              <w:jc w:val="center"/>
              <w:rPr>
                <w:rFonts w:cs="Times New Roman"/>
                <w:sz w:val="20"/>
                <w:szCs w:val="20"/>
                <w:lang w:val="cs-CZ"/>
              </w:rPr>
            </w:pPr>
            <w:r w:rsidRPr="0039089B">
              <w:rPr>
                <w:rFonts w:cs="Times New Roman"/>
                <w:sz w:val="20"/>
                <w:szCs w:val="20"/>
                <w:lang w:val="cs-CZ"/>
              </w:rPr>
              <w:t>518,5</w:t>
            </w:r>
          </w:p>
        </w:tc>
      </w:tr>
      <w:tr w:rsidR="00AA3A5F" w:rsidRPr="0039089B" w14:paraId="2C9A4D0B" w14:textId="77777777" w:rsidTr="007A68D5">
        <w:trPr>
          <w:trHeight w:val="266"/>
        </w:trPr>
        <w:tc>
          <w:tcPr>
            <w:tcW w:w="2883" w:type="dxa"/>
            <w:tcBorders>
              <w:top w:val="nil"/>
              <w:left w:val="double" w:sz="6" w:space="0" w:color="auto"/>
              <w:bottom w:val="double" w:sz="6" w:space="0" w:color="auto"/>
              <w:right w:val="single" w:sz="8" w:space="0" w:color="auto"/>
            </w:tcBorders>
            <w:shd w:val="clear" w:color="auto" w:fill="FFCC99"/>
            <w:noWrap/>
            <w:vAlign w:val="bottom"/>
          </w:tcPr>
          <w:p w14:paraId="4334CD3C" w14:textId="77777777" w:rsidR="00AA3A5F" w:rsidRPr="0039089B" w:rsidRDefault="00AA3A5F" w:rsidP="007A68D5">
            <w:pPr>
              <w:spacing w:after="60" w:line="240" w:lineRule="atLeast"/>
              <w:rPr>
                <w:rFonts w:cs="Times New Roman"/>
                <w:b/>
                <w:bCs/>
                <w:sz w:val="20"/>
                <w:szCs w:val="20"/>
                <w:lang w:val="cs-CZ"/>
              </w:rPr>
            </w:pPr>
            <w:r w:rsidRPr="0039089B">
              <w:rPr>
                <w:rFonts w:cs="Times New Roman"/>
                <w:b/>
                <w:bCs/>
                <w:sz w:val="20"/>
                <w:szCs w:val="20"/>
                <w:lang w:val="cs-CZ"/>
              </w:rPr>
              <w:t>Podíl produkce členů OP/ČR</w:t>
            </w:r>
          </w:p>
        </w:tc>
        <w:tc>
          <w:tcPr>
            <w:tcW w:w="858" w:type="dxa"/>
            <w:tcBorders>
              <w:top w:val="nil"/>
              <w:left w:val="nil"/>
              <w:bottom w:val="double" w:sz="6" w:space="0" w:color="auto"/>
              <w:right w:val="single" w:sz="4" w:space="0" w:color="auto"/>
            </w:tcBorders>
            <w:shd w:val="clear" w:color="auto" w:fill="FFCC99"/>
            <w:noWrap/>
            <w:vAlign w:val="bottom"/>
          </w:tcPr>
          <w:p w14:paraId="5BB24B3D" w14:textId="77777777" w:rsidR="00AA3A5F" w:rsidRPr="0039089B" w:rsidRDefault="00AA3A5F" w:rsidP="0039089B">
            <w:pPr>
              <w:spacing w:after="60" w:line="240" w:lineRule="atLeast"/>
              <w:jc w:val="center"/>
              <w:rPr>
                <w:rFonts w:cs="Times New Roman"/>
                <w:b/>
                <w:bCs/>
                <w:sz w:val="20"/>
                <w:szCs w:val="20"/>
                <w:lang w:val="cs-CZ"/>
              </w:rPr>
            </w:pPr>
            <w:r w:rsidRPr="0039089B">
              <w:rPr>
                <w:rFonts w:cs="Times New Roman"/>
                <w:b/>
                <w:bCs/>
                <w:sz w:val="20"/>
                <w:szCs w:val="20"/>
                <w:lang w:val="cs-CZ"/>
              </w:rPr>
              <w:t>v %</w:t>
            </w:r>
          </w:p>
        </w:tc>
        <w:tc>
          <w:tcPr>
            <w:tcW w:w="1060" w:type="dxa"/>
            <w:tcBorders>
              <w:top w:val="nil"/>
              <w:left w:val="nil"/>
              <w:bottom w:val="double" w:sz="6" w:space="0" w:color="auto"/>
              <w:right w:val="single" w:sz="4" w:space="0" w:color="auto"/>
            </w:tcBorders>
            <w:shd w:val="clear" w:color="auto" w:fill="FFCC99"/>
            <w:noWrap/>
            <w:vAlign w:val="center"/>
          </w:tcPr>
          <w:p w14:paraId="61FD5832" w14:textId="77777777" w:rsidR="00AA3A5F" w:rsidRPr="0039089B" w:rsidRDefault="00AA3A5F" w:rsidP="0039089B">
            <w:pPr>
              <w:spacing w:after="60" w:line="240" w:lineRule="atLeast"/>
              <w:ind w:right="57"/>
              <w:jc w:val="center"/>
              <w:rPr>
                <w:rFonts w:cs="Times New Roman"/>
                <w:b/>
                <w:sz w:val="20"/>
                <w:szCs w:val="20"/>
                <w:lang w:val="cs-CZ"/>
              </w:rPr>
            </w:pPr>
            <w:r w:rsidRPr="0039089B">
              <w:rPr>
                <w:rFonts w:cs="Times New Roman"/>
                <w:b/>
                <w:sz w:val="20"/>
                <w:szCs w:val="20"/>
                <w:lang w:val="cs-CZ"/>
              </w:rPr>
              <w:t>18,9</w:t>
            </w:r>
          </w:p>
        </w:tc>
        <w:tc>
          <w:tcPr>
            <w:tcW w:w="1061" w:type="dxa"/>
            <w:tcBorders>
              <w:top w:val="nil"/>
              <w:left w:val="nil"/>
              <w:bottom w:val="double" w:sz="6" w:space="0" w:color="auto"/>
              <w:right w:val="single" w:sz="4" w:space="0" w:color="auto"/>
            </w:tcBorders>
            <w:shd w:val="clear" w:color="auto" w:fill="FFCC99"/>
            <w:noWrap/>
            <w:vAlign w:val="center"/>
          </w:tcPr>
          <w:p w14:paraId="4F2D6BBA" w14:textId="77777777" w:rsidR="00AA3A5F" w:rsidRPr="0039089B" w:rsidRDefault="00AA3A5F" w:rsidP="0039089B">
            <w:pPr>
              <w:spacing w:after="60" w:line="240" w:lineRule="atLeast"/>
              <w:ind w:right="57"/>
              <w:jc w:val="center"/>
              <w:rPr>
                <w:rFonts w:cs="Times New Roman"/>
                <w:b/>
                <w:sz w:val="20"/>
                <w:szCs w:val="20"/>
                <w:lang w:val="cs-CZ"/>
              </w:rPr>
            </w:pPr>
            <w:r w:rsidRPr="0039089B">
              <w:rPr>
                <w:rFonts w:cs="Times New Roman"/>
                <w:b/>
                <w:sz w:val="20"/>
                <w:szCs w:val="20"/>
                <w:lang w:val="cs-CZ"/>
              </w:rPr>
              <w:t>22,5</w:t>
            </w:r>
          </w:p>
        </w:tc>
        <w:tc>
          <w:tcPr>
            <w:tcW w:w="1060" w:type="dxa"/>
            <w:tcBorders>
              <w:top w:val="nil"/>
              <w:left w:val="nil"/>
              <w:bottom w:val="double" w:sz="6" w:space="0" w:color="auto"/>
              <w:right w:val="single" w:sz="4" w:space="0" w:color="auto"/>
            </w:tcBorders>
            <w:shd w:val="clear" w:color="auto" w:fill="FFCC99"/>
            <w:noWrap/>
            <w:vAlign w:val="center"/>
          </w:tcPr>
          <w:p w14:paraId="1C8A9830" w14:textId="77777777" w:rsidR="00AA3A5F" w:rsidRPr="0039089B" w:rsidRDefault="00AA3A5F" w:rsidP="0039089B">
            <w:pPr>
              <w:spacing w:after="60" w:line="240" w:lineRule="atLeast"/>
              <w:ind w:right="57"/>
              <w:jc w:val="center"/>
              <w:rPr>
                <w:rFonts w:cs="Times New Roman"/>
                <w:b/>
                <w:sz w:val="20"/>
                <w:szCs w:val="20"/>
                <w:lang w:val="cs-CZ"/>
              </w:rPr>
            </w:pPr>
            <w:r w:rsidRPr="0039089B">
              <w:rPr>
                <w:rFonts w:cs="Times New Roman"/>
                <w:b/>
                <w:sz w:val="20"/>
                <w:szCs w:val="20"/>
                <w:lang w:val="cs-CZ"/>
              </w:rPr>
              <w:t>30,3</w:t>
            </w:r>
          </w:p>
        </w:tc>
        <w:tc>
          <w:tcPr>
            <w:tcW w:w="1061" w:type="dxa"/>
            <w:tcBorders>
              <w:top w:val="nil"/>
              <w:left w:val="nil"/>
              <w:bottom w:val="double" w:sz="6" w:space="0" w:color="auto"/>
              <w:right w:val="single" w:sz="12" w:space="0" w:color="auto"/>
            </w:tcBorders>
            <w:shd w:val="clear" w:color="auto" w:fill="FFCC99"/>
            <w:noWrap/>
            <w:vAlign w:val="center"/>
          </w:tcPr>
          <w:p w14:paraId="0BFD2635" w14:textId="77777777" w:rsidR="00AA3A5F" w:rsidRPr="0039089B" w:rsidRDefault="00AA3A5F" w:rsidP="0039089B">
            <w:pPr>
              <w:spacing w:after="60" w:line="240" w:lineRule="atLeast"/>
              <w:ind w:right="57"/>
              <w:jc w:val="center"/>
              <w:rPr>
                <w:rFonts w:cs="Times New Roman"/>
                <w:b/>
                <w:sz w:val="20"/>
                <w:szCs w:val="20"/>
                <w:lang w:val="cs-CZ"/>
              </w:rPr>
            </w:pPr>
            <w:r w:rsidRPr="0039089B">
              <w:rPr>
                <w:rFonts w:cs="Times New Roman"/>
                <w:b/>
                <w:sz w:val="20"/>
                <w:szCs w:val="20"/>
                <w:lang w:val="cs-CZ"/>
              </w:rPr>
              <w:t>24,7</w:t>
            </w:r>
          </w:p>
        </w:tc>
        <w:tc>
          <w:tcPr>
            <w:tcW w:w="1218" w:type="dxa"/>
            <w:tcBorders>
              <w:top w:val="nil"/>
              <w:left w:val="single" w:sz="12" w:space="0" w:color="auto"/>
              <w:bottom w:val="double" w:sz="6" w:space="0" w:color="auto"/>
              <w:right w:val="double" w:sz="6" w:space="0" w:color="auto"/>
            </w:tcBorders>
            <w:shd w:val="clear" w:color="auto" w:fill="FFCC99"/>
            <w:vAlign w:val="center"/>
          </w:tcPr>
          <w:p w14:paraId="09AF7EA6" w14:textId="77777777" w:rsidR="00AA3A5F" w:rsidRPr="0039089B" w:rsidRDefault="00AA3A5F" w:rsidP="0039089B">
            <w:pPr>
              <w:spacing w:after="60" w:line="240" w:lineRule="atLeast"/>
              <w:ind w:right="57"/>
              <w:jc w:val="center"/>
              <w:rPr>
                <w:rFonts w:cs="Times New Roman"/>
                <w:b/>
                <w:sz w:val="20"/>
                <w:szCs w:val="20"/>
                <w:lang w:val="cs-CZ"/>
              </w:rPr>
            </w:pPr>
            <w:r w:rsidRPr="0039089B">
              <w:rPr>
                <w:rFonts w:cs="Times New Roman"/>
                <w:b/>
                <w:sz w:val="20"/>
                <w:szCs w:val="20"/>
                <w:lang w:val="cs-CZ"/>
              </w:rPr>
              <w:t>25,6</w:t>
            </w:r>
          </w:p>
        </w:tc>
      </w:tr>
    </w:tbl>
    <w:p w14:paraId="368A7550" w14:textId="77777777" w:rsidR="00AA3A5F" w:rsidRPr="00B25A22" w:rsidRDefault="00AA3A5F" w:rsidP="0039089B">
      <w:pPr>
        <w:pStyle w:val="UZEIZdroj"/>
      </w:pPr>
      <w:r w:rsidRPr="00B25A22">
        <w:t>Pozn.: Průměr 2009 - 2011 u podílu produkce počítán jako geometrický průměr</w:t>
      </w:r>
    </w:p>
    <w:p w14:paraId="78C3617D" w14:textId="77777777" w:rsidR="00AA3A5F" w:rsidRPr="00B25A22" w:rsidRDefault="00AA3A5F" w:rsidP="0039089B">
      <w:pPr>
        <w:pStyle w:val="UZEIZdroj"/>
      </w:pPr>
      <w:r w:rsidRPr="00B25A22">
        <w:t>Pramen: SZIF - Výroční zprávy OP, ČSÚ, výpočet ÚZEI</w:t>
      </w:r>
    </w:p>
    <w:p w14:paraId="7A7FFA08" w14:textId="77777777" w:rsidR="00AA3A5F" w:rsidRPr="00B25A22" w:rsidRDefault="00AA3A5F" w:rsidP="0039089B">
      <w:pPr>
        <w:pStyle w:val="UZEINormaln"/>
      </w:pPr>
      <w:r w:rsidRPr="00B25A22">
        <w:t xml:space="preserve">Efektivně vynaložené finanční prostředky v období 2009 – 2011 se odrazily v porovnání </w:t>
      </w:r>
      <w:r w:rsidRPr="00B25A22">
        <w:rPr>
          <w:u w:val="single"/>
        </w:rPr>
        <w:t>celkové hodnoty produkce dosažené organizacemi producentů</w:t>
      </w:r>
      <w:r w:rsidRPr="00B25A22">
        <w:t xml:space="preserve"> (v mil. EUR) s rokem 2008. Mírné zvýšení objemu produkce na 100,3 % bylo ovlivněno kurzovním přepočtem v roce 2009 (index z přepočtu z mil. Kč byl 106,4). K výraznému finančnímu přínosu členů OP došlo v roce 2010 na 129,6 % v porovnání s rokem 2008 a v roce 2011 o dalších 4,54 p. b. na 134,14 %. V průměru se celková hodnota produkce zvýšila ve srovnání s rokem 2008 o 20,4 %. Celková hodnota produkce v ČR zaznamenala v roce 2009 naprosto opačný trend. V průběhu období 2009 – 2011 nepřesáhla 88,1 % hodnoty produkce roku 2008.</w:t>
      </w:r>
    </w:p>
    <w:p w14:paraId="3BA153DA" w14:textId="77777777" w:rsidR="0039089B" w:rsidRDefault="0039089B" w:rsidP="00AA3A5F">
      <w:pPr>
        <w:spacing w:line="300" w:lineRule="atLeast"/>
        <w:rPr>
          <w:rFonts w:cs="Times New Roman"/>
          <w:b/>
          <w:sz w:val="20"/>
          <w:szCs w:val="20"/>
          <w:lang w:val="cs-CZ"/>
        </w:rPr>
      </w:pPr>
    </w:p>
    <w:p w14:paraId="13807B61" w14:textId="77777777" w:rsidR="0039089B" w:rsidRDefault="0039089B" w:rsidP="00AA3A5F">
      <w:pPr>
        <w:spacing w:line="300" w:lineRule="atLeast"/>
        <w:rPr>
          <w:rFonts w:cs="Times New Roman"/>
          <w:b/>
          <w:sz w:val="20"/>
          <w:szCs w:val="20"/>
          <w:lang w:val="cs-CZ"/>
        </w:rPr>
      </w:pPr>
    </w:p>
    <w:p w14:paraId="6E6B1FBC" w14:textId="77777777" w:rsidR="0039089B" w:rsidRDefault="0039089B" w:rsidP="00AA3A5F">
      <w:pPr>
        <w:spacing w:line="300" w:lineRule="atLeast"/>
        <w:rPr>
          <w:rFonts w:cs="Times New Roman"/>
          <w:b/>
          <w:sz w:val="20"/>
          <w:szCs w:val="20"/>
          <w:lang w:val="cs-CZ"/>
        </w:rPr>
      </w:pPr>
    </w:p>
    <w:p w14:paraId="7F648A31" w14:textId="77777777" w:rsidR="0039089B" w:rsidRDefault="0039089B" w:rsidP="00AA3A5F">
      <w:pPr>
        <w:spacing w:line="300" w:lineRule="atLeast"/>
        <w:rPr>
          <w:rFonts w:cs="Times New Roman"/>
          <w:b/>
          <w:sz w:val="20"/>
          <w:szCs w:val="20"/>
          <w:lang w:val="cs-CZ"/>
        </w:rPr>
      </w:pPr>
    </w:p>
    <w:p w14:paraId="2A50C130" w14:textId="77777777" w:rsidR="0039089B" w:rsidRDefault="0039089B" w:rsidP="00AA3A5F">
      <w:pPr>
        <w:spacing w:line="300" w:lineRule="atLeast"/>
        <w:rPr>
          <w:rFonts w:cs="Times New Roman"/>
          <w:b/>
          <w:sz w:val="20"/>
          <w:szCs w:val="20"/>
          <w:lang w:val="cs-CZ"/>
        </w:rPr>
      </w:pPr>
    </w:p>
    <w:p w14:paraId="3D655153" w14:textId="77777777" w:rsidR="0039089B" w:rsidRDefault="0039089B" w:rsidP="00AA3A5F">
      <w:pPr>
        <w:spacing w:line="300" w:lineRule="atLeast"/>
        <w:rPr>
          <w:rFonts w:cs="Times New Roman"/>
          <w:b/>
          <w:sz w:val="20"/>
          <w:szCs w:val="20"/>
          <w:lang w:val="cs-CZ"/>
        </w:rPr>
      </w:pPr>
    </w:p>
    <w:p w14:paraId="24F3BB8D" w14:textId="77777777" w:rsidR="0039089B" w:rsidRDefault="0039089B" w:rsidP="00AA3A5F">
      <w:pPr>
        <w:spacing w:line="300" w:lineRule="atLeast"/>
        <w:rPr>
          <w:rFonts w:cs="Times New Roman"/>
          <w:b/>
          <w:sz w:val="20"/>
          <w:szCs w:val="20"/>
          <w:lang w:val="cs-CZ"/>
        </w:rPr>
      </w:pPr>
    </w:p>
    <w:p w14:paraId="1AA80E67" w14:textId="72EDB989" w:rsidR="00AA3A5F" w:rsidRPr="0039089B" w:rsidRDefault="00AA3A5F" w:rsidP="00AA3A5F">
      <w:pPr>
        <w:spacing w:line="300" w:lineRule="atLeast"/>
        <w:rPr>
          <w:rFonts w:cs="Times New Roman"/>
          <w:b/>
          <w:sz w:val="20"/>
          <w:szCs w:val="20"/>
          <w:lang w:val="cs-CZ"/>
        </w:rPr>
      </w:pPr>
      <w:r w:rsidRPr="0039089B">
        <w:rPr>
          <w:rFonts w:cs="Times New Roman"/>
          <w:b/>
          <w:sz w:val="20"/>
          <w:szCs w:val="20"/>
          <w:lang w:val="cs-CZ"/>
        </w:rPr>
        <w:lastRenderedPageBreak/>
        <w:t xml:space="preserve">Graf P 1.1: Celková hodnota a objem produkce uváděné OP na trh a hodnota produkce na ha plochy v letech 2009 - 2011 </w:t>
      </w:r>
    </w:p>
    <w:p w14:paraId="3C3D44E2" w14:textId="77777777" w:rsidR="00AA3A5F" w:rsidRPr="00B25A22" w:rsidRDefault="00AA3A5F" w:rsidP="00AA3A5F">
      <w:pPr>
        <w:spacing w:line="300" w:lineRule="atLeast"/>
        <w:ind w:left="-425" w:firstLine="425"/>
        <w:jc w:val="left"/>
        <w:rPr>
          <w:rFonts w:cs="Times New Roman"/>
          <w:b/>
          <w:sz w:val="22"/>
          <w:lang w:val="cs-CZ"/>
        </w:rPr>
      </w:pPr>
      <w:r w:rsidRPr="00B25A22">
        <w:rPr>
          <w:rFonts w:cs="Times New Roman"/>
          <w:noProof/>
          <w:sz w:val="22"/>
          <w:lang w:val="cs-CZ" w:eastAsia="cs-CZ"/>
        </w:rPr>
        <w:drawing>
          <wp:inline distT="0" distB="0" distL="0" distR="0" wp14:anchorId="6F0D992F" wp14:editId="77BA81DA">
            <wp:extent cx="5719445" cy="2981612"/>
            <wp:effectExtent l="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l="3633" t="625" r="948"/>
                    <a:stretch/>
                  </pic:blipFill>
                  <pic:spPr bwMode="auto">
                    <a:xfrm>
                      <a:off x="0" y="0"/>
                      <a:ext cx="5724400" cy="2984195"/>
                    </a:xfrm>
                    <a:prstGeom prst="rect">
                      <a:avLst/>
                    </a:prstGeom>
                    <a:noFill/>
                    <a:ln>
                      <a:noFill/>
                    </a:ln>
                    <a:extLst>
                      <a:ext uri="{53640926-AAD7-44D8-BBD7-CCE9431645EC}">
                        <a14:shadowObscured xmlns:a14="http://schemas.microsoft.com/office/drawing/2010/main"/>
                      </a:ext>
                    </a:extLst>
                  </pic:spPr>
                </pic:pic>
              </a:graphicData>
            </a:graphic>
          </wp:inline>
        </w:drawing>
      </w:r>
    </w:p>
    <w:p w14:paraId="2CC4782F" w14:textId="2923809D" w:rsidR="00AA3A5F" w:rsidRPr="0039089B" w:rsidRDefault="00AA3A5F" w:rsidP="0039089B">
      <w:pPr>
        <w:pStyle w:val="UZEIZdroj"/>
      </w:pPr>
      <w:r w:rsidRPr="00B25A22">
        <w:t>Pramen: SZIF</w:t>
      </w:r>
    </w:p>
    <w:p w14:paraId="08436085" w14:textId="77777777" w:rsidR="00AA3A5F" w:rsidRPr="00B25A22" w:rsidRDefault="00AA3A5F" w:rsidP="0039089B">
      <w:pPr>
        <w:pStyle w:val="UZEINormaln"/>
        <w:rPr>
          <w:u w:val="single"/>
        </w:rPr>
      </w:pPr>
      <w:r w:rsidRPr="00B25A22">
        <w:t xml:space="preserve">2) Obdobně byly srovnány hodnoty </w:t>
      </w:r>
      <w:r w:rsidRPr="00B25A22">
        <w:rPr>
          <w:u w:val="single"/>
        </w:rPr>
        <w:t xml:space="preserve">produkce vyjádřené na jednotku produkce (EUR/t). </w:t>
      </w:r>
      <w:r w:rsidRPr="00B25A22">
        <w:t>V roce 2009 došlo k poklesu jednotkové hodnoty produkce v OP i v celé ČR. V roce 2009 klesla jednotková produkce členů OP na 84,2 % skutečnosti roku 2008 (v ČR na 80,4 %), avšak v roce 2010 se index jednotkové hodnoty vzhledem k roku 2008 zvýšil na 115,3 % (v ČR na 109,5 %). Následující rok 2011 se meziročně snížila jednotková hodnota produkce o 3,1 p. b., resp. na 112,2 % skutečnosti roku 2008 (v ČR na 96 %).</w:t>
      </w:r>
      <w:r w:rsidRPr="00B25A22">
        <w:rPr>
          <w:u w:val="single"/>
        </w:rPr>
        <w:t xml:space="preserve"> V průměru se jednotková hodnota produkce v porovnání s rokem 2008 zvýšila o 2,9 %.</w:t>
      </w:r>
    </w:p>
    <w:p w14:paraId="1BDA7FB2" w14:textId="77777777" w:rsidR="00AA3A5F" w:rsidRPr="0039089B" w:rsidRDefault="00AA3A5F" w:rsidP="00AA3A5F">
      <w:pPr>
        <w:rPr>
          <w:rFonts w:cs="Times New Roman"/>
          <w:b/>
          <w:sz w:val="20"/>
          <w:szCs w:val="20"/>
          <w:lang w:val="cs-CZ"/>
        </w:rPr>
      </w:pPr>
      <w:r w:rsidRPr="0039089B">
        <w:rPr>
          <w:rFonts w:cs="Times New Roman"/>
          <w:b/>
          <w:sz w:val="20"/>
          <w:szCs w:val="20"/>
          <w:lang w:val="cs-CZ"/>
        </w:rPr>
        <w:t>Graf P 1.2: Index celkové a jednotkové hodnoty produkce a celkového objemu produkce uvedené na trh OP v letech 2009-2011 proti roku 2008 (rok 2008 = 100 %)</w:t>
      </w:r>
    </w:p>
    <w:p w14:paraId="28619E0A" w14:textId="77777777" w:rsidR="00AA3A5F" w:rsidRPr="00B25A22" w:rsidRDefault="00AA3A5F" w:rsidP="00AA3A5F">
      <w:pPr>
        <w:rPr>
          <w:rFonts w:cs="Times New Roman"/>
          <w:sz w:val="22"/>
          <w:lang w:val="cs-CZ"/>
        </w:rPr>
      </w:pPr>
      <w:r w:rsidRPr="00B25A22">
        <w:rPr>
          <w:rFonts w:cs="Times New Roman"/>
          <w:noProof/>
          <w:sz w:val="22"/>
          <w:lang w:val="cs-CZ" w:eastAsia="cs-CZ"/>
        </w:rPr>
        <w:drawing>
          <wp:inline distT="0" distB="0" distL="0" distR="0" wp14:anchorId="49148A0C" wp14:editId="3400BFF5">
            <wp:extent cx="5760720" cy="3009900"/>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60720" cy="3009900"/>
                    </a:xfrm>
                    <a:prstGeom prst="rect">
                      <a:avLst/>
                    </a:prstGeom>
                    <a:noFill/>
                    <a:ln>
                      <a:noFill/>
                    </a:ln>
                  </pic:spPr>
                </pic:pic>
              </a:graphicData>
            </a:graphic>
          </wp:inline>
        </w:drawing>
      </w:r>
    </w:p>
    <w:p w14:paraId="43F8BF52" w14:textId="77777777" w:rsidR="00AA3A5F" w:rsidRPr="00B25A22" w:rsidRDefault="00AA3A5F" w:rsidP="0039089B">
      <w:pPr>
        <w:pStyle w:val="UZEINormaln"/>
      </w:pPr>
      <w:r w:rsidRPr="00B25A22">
        <w:rPr>
          <w:u w:val="single"/>
        </w:rPr>
        <w:t>Struktura odběratelů</w:t>
      </w:r>
      <w:r w:rsidRPr="00B25A22">
        <w:t xml:space="preserve"> v období 2009 – 2011 byla složena převážně z obchodních řetězců (v průměru 37 %) a velkoobchodů (v průměru 31 %). Přibližně 12 % ovoce a zeleniny </w:t>
      </w:r>
      <w:r w:rsidRPr="00B25A22">
        <w:lastRenderedPageBreak/>
        <w:t>odčerpal zpracovatelský průmysl. Členové OP měli možnost prodávat svoji produkci přímo formou drobného prodeje pod značkou OP (v průměru 6 %).</w:t>
      </w:r>
    </w:p>
    <w:p w14:paraId="38D096E3" w14:textId="77777777" w:rsidR="00AA3A5F" w:rsidRPr="0039089B" w:rsidRDefault="00AA3A5F" w:rsidP="00AA3A5F">
      <w:pPr>
        <w:tabs>
          <w:tab w:val="num" w:pos="1134"/>
        </w:tabs>
        <w:rPr>
          <w:rFonts w:cs="Times New Roman"/>
          <w:b/>
          <w:sz w:val="20"/>
          <w:szCs w:val="20"/>
          <w:lang w:val="cs-CZ"/>
        </w:rPr>
      </w:pPr>
      <w:r w:rsidRPr="0039089B">
        <w:rPr>
          <w:rFonts w:cs="Times New Roman"/>
          <w:b/>
          <w:sz w:val="20"/>
          <w:szCs w:val="20"/>
          <w:lang w:val="cs-CZ"/>
        </w:rPr>
        <w:t>Graf P 1.3: Struktura odběratelů produkce organizací producentů v letech 2008 – 2011 (v hodnotovém vyjádření)</w:t>
      </w:r>
    </w:p>
    <w:p w14:paraId="35396419" w14:textId="77777777" w:rsidR="00AA3A5F" w:rsidRPr="00B25A22" w:rsidRDefault="00AA3A5F" w:rsidP="00AA3A5F">
      <w:pPr>
        <w:tabs>
          <w:tab w:val="num" w:pos="1134"/>
        </w:tabs>
        <w:rPr>
          <w:rFonts w:cs="Times New Roman"/>
          <w:sz w:val="22"/>
          <w:lang w:val="cs-CZ"/>
        </w:rPr>
      </w:pPr>
      <w:r w:rsidRPr="00B25A22">
        <w:rPr>
          <w:rFonts w:cs="Times New Roman"/>
          <w:noProof/>
          <w:sz w:val="22"/>
          <w:lang w:val="cs-CZ" w:eastAsia="cs-CZ"/>
        </w:rPr>
        <w:drawing>
          <wp:inline distT="0" distB="0" distL="0" distR="0" wp14:anchorId="1BD0EC6D" wp14:editId="390AE3F2">
            <wp:extent cx="5771515" cy="2847708"/>
            <wp:effectExtent l="0" t="0" r="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72261" cy="2848076"/>
                    </a:xfrm>
                    <a:prstGeom prst="rect">
                      <a:avLst/>
                    </a:prstGeom>
                    <a:noFill/>
                    <a:ln>
                      <a:noFill/>
                    </a:ln>
                  </pic:spPr>
                </pic:pic>
              </a:graphicData>
            </a:graphic>
          </wp:inline>
        </w:drawing>
      </w:r>
    </w:p>
    <w:p w14:paraId="75C1E08E" w14:textId="77777777" w:rsidR="00AA3A5F" w:rsidRPr="0039089B" w:rsidRDefault="00AA3A5F" w:rsidP="0039089B">
      <w:pPr>
        <w:pStyle w:val="UZEINormaln"/>
        <w:rPr>
          <w:u w:val="single"/>
        </w:rPr>
      </w:pPr>
      <w:r w:rsidRPr="0039089B">
        <w:rPr>
          <w:u w:val="single"/>
        </w:rPr>
        <w:t xml:space="preserve">3) OP organizovaly v rozmezí let 2009 – 2011 pro své členy vzdělávací akce a zajišťovaly poradenské služby, kterých se zúčastnilo 184 podniků. 4) Vzdělávacích akcí a školení absolvovalo 213 osob. </w:t>
      </w:r>
    </w:p>
    <w:p w14:paraId="29D0A0BF" w14:textId="77777777" w:rsidR="00AA3A5F" w:rsidRPr="00B25A22" w:rsidRDefault="00AA3A5F" w:rsidP="00AA3A5F">
      <w:pPr>
        <w:rPr>
          <w:rFonts w:cs="Times New Roman"/>
          <w:b/>
          <w:bCs/>
          <w:color w:val="000000"/>
          <w:sz w:val="22"/>
          <w:lang w:val="cs-CZ"/>
        </w:rPr>
      </w:pPr>
    </w:p>
    <w:p w14:paraId="43B38E49" w14:textId="77777777" w:rsidR="00AA3A5F" w:rsidRPr="0039089B" w:rsidRDefault="00AA3A5F" w:rsidP="00AA3A5F">
      <w:pPr>
        <w:rPr>
          <w:rFonts w:cs="Times New Roman"/>
          <w:b/>
          <w:bCs/>
          <w:color w:val="000000"/>
          <w:sz w:val="20"/>
          <w:szCs w:val="20"/>
          <w:lang w:val="cs-CZ"/>
        </w:rPr>
      </w:pPr>
      <w:r w:rsidRPr="0039089B">
        <w:rPr>
          <w:rFonts w:cs="Times New Roman"/>
          <w:b/>
          <w:bCs/>
          <w:color w:val="000000"/>
          <w:sz w:val="20"/>
          <w:szCs w:val="20"/>
          <w:lang w:val="cs-CZ"/>
        </w:rPr>
        <w:t>Tab. P1.3: Počet organizací producentů, členů OP a údaje za produkci a plochu člena</w:t>
      </w:r>
    </w:p>
    <w:p w14:paraId="5A666A9F" w14:textId="77777777" w:rsidR="00AA3A5F" w:rsidRPr="00B25A22" w:rsidRDefault="00AA3A5F" w:rsidP="00AA3A5F">
      <w:pPr>
        <w:rPr>
          <w:rFonts w:cs="Times New Roman"/>
          <w:sz w:val="22"/>
          <w:lang w:val="cs-CZ"/>
        </w:rPr>
      </w:pPr>
      <w:r w:rsidRPr="00B25A22">
        <w:rPr>
          <w:rFonts w:cs="Times New Roman"/>
          <w:noProof/>
          <w:sz w:val="22"/>
          <w:lang w:val="cs-CZ" w:eastAsia="cs-CZ"/>
        </w:rPr>
        <w:drawing>
          <wp:inline distT="0" distB="0" distL="0" distR="0" wp14:anchorId="71D7864A" wp14:editId="7447BABE">
            <wp:extent cx="5771806" cy="2070100"/>
            <wp:effectExtent l="0" t="0" r="0" b="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5" cstate="print">
                      <a:extLst>
                        <a:ext uri="{28A0092B-C50C-407E-A947-70E740481C1C}">
                          <a14:useLocalDpi xmlns:a14="http://schemas.microsoft.com/office/drawing/2010/main" val="0"/>
                        </a:ext>
                      </a:extLst>
                    </a:blip>
                    <a:srcRect l="2483" t="5140" r="3808"/>
                    <a:stretch/>
                  </pic:blipFill>
                  <pic:spPr bwMode="auto">
                    <a:xfrm>
                      <a:off x="0" y="0"/>
                      <a:ext cx="5799102" cy="2079890"/>
                    </a:xfrm>
                    <a:prstGeom prst="rect">
                      <a:avLst/>
                    </a:prstGeom>
                    <a:noFill/>
                    <a:ln>
                      <a:noFill/>
                    </a:ln>
                    <a:extLst>
                      <a:ext uri="{53640926-AAD7-44D8-BBD7-CCE9431645EC}">
                        <a14:shadowObscured xmlns:a14="http://schemas.microsoft.com/office/drawing/2010/main"/>
                      </a:ext>
                    </a:extLst>
                  </pic:spPr>
                </pic:pic>
              </a:graphicData>
            </a:graphic>
          </wp:inline>
        </w:drawing>
      </w:r>
    </w:p>
    <w:p w14:paraId="26154961" w14:textId="77777777" w:rsidR="00AA3A5F" w:rsidRPr="00B25A22" w:rsidRDefault="00AA3A5F" w:rsidP="00AA3A5F">
      <w:pPr>
        <w:rPr>
          <w:rFonts w:cs="Times New Roman"/>
          <w:sz w:val="22"/>
          <w:lang w:val="cs-CZ"/>
        </w:rPr>
      </w:pPr>
    </w:p>
    <w:p w14:paraId="19ACCC22" w14:textId="77777777" w:rsidR="00AA3A5F" w:rsidRPr="00B25A22" w:rsidRDefault="00AA3A5F" w:rsidP="0039089B">
      <w:pPr>
        <w:pStyle w:val="UZEINormaln"/>
      </w:pPr>
      <w:r w:rsidRPr="00B25A22">
        <w:t xml:space="preserve">Vyhodnocování využitých Operačních programů </w:t>
      </w:r>
      <w:r w:rsidRPr="00B25A22">
        <w:rPr>
          <w:u w:val="single"/>
        </w:rPr>
        <w:t>ve vztahu k dopadům do ochrany životního prostředí bylo obtížné</w:t>
      </w:r>
      <w:r w:rsidRPr="00B25A22">
        <w:t xml:space="preserve">, neboť hodnocení probíhalo za velmi krátké období let 2009 až 2011. Z tohoto hlediska nelze vlivy na životní prostředí, zejména v oblasti zmírnění dopadu změny klimatu, spolehlivě stanovit, změřit, ani je v některých případech odhadovat. U hodnocených organizací producentů nebyl evidován žádný člen s ekologickou produkcí, zatímco produkční plocha členů s integrovanou produkcí dosahovala v průměru let 2009 až 2011 z celkové plochy OP téměř 64 %. Od roku 2009 do roku 2011 se tato plocha zvýšila z 56,1 % na 72,2 %. Lze tedy konstatovat, že u členů OP dochází vlivem rostoucí plochy integrované produkce ovoce a zeleniny k využívání pěstebních technologií šetrnějších k životnímu prostředí. O pěstování ovoce a zeleniny formou IP je u prvovýrobců výrazně vyšší zájem než o systém ekologické výroby. Hlavními důvody jsou nižší výnosy a obtížnost ochrany produkce proti škůdcům. </w:t>
      </w:r>
    </w:p>
    <w:p w14:paraId="151FE92E" w14:textId="77777777" w:rsidR="00AA3A5F" w:rsidRPr="00B25A22" w:rsidRDefault="00AA3A5F" w:rsidP="0039089B">
      <w:pPr>
        <w:pStyle w:val="UZEINormaln"/>
      </w:pPr>
      <w:r w:rsidRPr="00B25A22">
        <w:lastRenderedPageBreak/>
        <w:t xml:space="preserve">Akce na ochranu půdy byly v hodnoceném období 2009 - 2011 využity na celkové rozloze 1 403 ha, tj. téměř na 20 % pěstební plochy ovoce a zeleniny členů organizací producentů. Jednalo se zejména o protierozní opatření v podobě zatravnění sadů, nebo v případě zeleniny závlahy formou kapkových závlah a </w:t>
      </w:r>
      <w:proofErr w:type="spellStart"/>
      <w:r w:rsidRPr="00B25A22">
        <w:t>mikropostřikovačů</w:t>
      </w:r>
      <w:proofErr w:type="spellEnd"/>
      <w:r w:rsidRPr="00B25A22">
        <w:t xml:space="preserve">. V rámci akcí podporujících šetrné hospodaření s vodou v krajině došlo u dotčené plochy, kde byla vybudována kapková závlaha nebo aplikován </w:t>
      </w:r>
      <w:proofErr w:type="spellStart"/>
      <w:r w:rsidRPr="00B25A22">
        <w:t>mikropostřik</w:t>
      </w:r>
      <w:proofErr w:type="spellEnd"/>
      <w:r w:rsidRPr="00B25A22">
        <w:t xml:space="preserve">, k úspoře vody podle odhadu přibližně o 20 %. Akce zaměřené na vytvoření či udržení přirozeného prostředí příznivého pro biodiverzitu měly především vliv na zvýšení počtu živočichů opylujících rostliny v krajině. </w:t>
      </w:r>
    </w:p>
    <w:p w14:paraId="04413F5D" w14:textId="77777777" w:rsidR="00AA3A5F" w:rsidRPr="00B25A22" w:rsidRDefault="00AA3A5F" w:rsidP="0039089B">
      <w:pPr>
        <w:pStyle w:val="UZEINormaln"/>
      </w:pPr>
      <w:r w:rsidRPr="00B25A22">
        <w:t xml:space="preserve">V průměru celého hodnoceného období 2009 </w:t>
      </w:r>
      <w:r w:rsidRPr="00B25A22">
        <w:noBreakHyphen/>
        <w:t xml:space="preserve"> 2011 se v ČR v odvětví ovoce a zeleniny ve srovnání rokem 2008 snížil objem produkce uvedené na trh na 87,4 %, klesla rovněž její celková hodnota na 81,8 % i jednotková hodnota na 95,3 %. V hodnotovém vyjádření pak došlo v průměru let 2009 - 2011 ve srovnání s rokem 2008 v ČR k poklesu celkových tržeb za produkci uvedenou na trh o 22,3 mil. EUR, ke snížení její jednotkové hodnoty o 9,7 EUR/t a k omezení objemu celkové produkce o 74,9 tis. t. </w:t>
      </w:r>
    </w:p>
    <w:p w14:paraId="5628885C" w14:textId="77777777" w:rsidR="00AA3A5F" w:rsidRPr="00B25A22" w:rsidRDefault="00AA3A5F" w:rsidP="0039089B">
      <w:pPr>
        <w:pStyle w:val="UZEINormaln"/>
      </w:pPr>
      <w:r w:rsidRPr="00B25A22">
        <w:t xml:space="preserve">Zároveň se však zvyšoval podíl objemu produkce uvedené na trh organizacemi producentů z celkového objemu ovoce a zeleniny vyprodukovaného v ČR. Zatímco v roce 2008 se OP podílely na celkovém objemu produkce ovoce a zeleniny vyrobené v tuzemsku necelými 18,9 %, v průměru let 2009 </w:t>
      </w:r>
      <w:r w:rsidRPr="00B25A22">
        <w:noBreakHyphen/>
        <w:t xml:space="preserve"> 2011 se tento objem zvýšil o 6,9 </w:t>
      </w:r>
      <w:proofErr w:type="spellStart"/>
      <w:r w:rsidRPr="00B25A22">
        <w:t>p.b</w:t>
      </w:r>
      <w:proofErr w:type="spellEnd"/>
      <w:r w:rsidRPr="00B25A22">
        <w:t xml:space="preserve">. na 25,8 %. </w:t>
      </w:r>
    </w:p>
    <w:p w14:paraId="6C040663" w14:textId="77777777" w:rsidR="00AA3A5F" w:rsidRPr="00B25A22" w:rsidRDefault="00AA3A5F" w:rsidP="0039089B">
      <w:pPr>
        <w:pStyle w:val="UZEINormaln"/>
      </w:pPr>
      <w:r w:rsidRPr="00B25A22">
        <w:t xml:space="preserve">Dle TÚ 47 (4437) z roku 2012 rostoucí počet OP na tuzemském trhu však příliš neovlivnil v letech 2009 - 2011 vývoj konkurenceschopnosti celého sektoru ovoce a zeleniny v ČR, neboť období tří let hodnocení Operačních programů v rámci VS ČR je poměrně krátký časový úsek na to, aby se projevil v celonárodním měřítku. Navíc docházelo k tomu, že mnozí pěstitelé ovoce nebo zeleniny ukončovali svou činnost, což ovlivnilo celkový vývoj v odvětví. Je obtížné stanovit, jaký by v případě neexistence VS ČR byl vývoj v sektoru ovoce a zeleniny, a zda by se pokles produkce v ČR v obou odvětvích vyvíjel </w:t>
      </w:r>
      <w:proofErr w:type="spellStart"/>
      <w:r w:rsidRPr="00B25A22">
        <w:t>nepříznivěji</w:t>
      </w:r>
      <w:proofErr w:type="spellEnd"/>
      <w:r w:rsidRPr="00B25A22">
        <w:t xml:space="preserve"> a konkurenceschopnost se tak ještě více zhoršovala. </w:t>
      </w:r>
    </w:p>
    <w:p w14:paraId="7176036A" w14:textId="77777777" w:rsidR="00AA3A5F" w:rsidRPr="00B25A22" w:rsidRDefault="00AA3A5F" w:rsidP="0039089B">
      <w:pPr>
        <w:pStyle w:val="UZEINormaln"/>
        <w:rPr>
          <w:b/>
        </w:rPr>
      </w:pPr>
      <w:r w:rsidRPr="00B25A22">
        <w:t>Zároveň dle TÚ 47 (4437) z roku 2012 se zvyšující objem produkce dodané do tržní sítě prostřednictvím OP a její vyšší zhodnocení ve srovnání s celorepublikovým průměrem dokladuje zlepšující se konkurenceschopnost těch pěstitelů zeleniny a ovoce, kteří jsou členy organizací producentů, neboť se lépe prosazují na trhu. To by se mělo postupně v dalším období projevit ve stabilizaci celého odvětví v celonárodním měřítku.</w:t>
      </w:r>
    </w:p>
    <w:p w14:paraId="576DF8A9" w14:textId="77777777" w:rsidR="00AA3A5F" w:rsidRPr="00B25A22" w:rsidRDefault="00AA3A5F" w:rsidP="0039089B">
      <w:pPr>
        <w:pStyle w:val="UZEINormaln"/>
      </w:pPr>
      <w:r w:rsidRPr="00B25A22">
        <w:t xml:space="preserve">V rámci dotazníkového šetření OP byly u zástupců jednotlivých organizací producentů zjišťovány důvody, které vedly k jejich zakládání. Ze zpracovaných dotazníků bylo možno stanovit pořadí významnosti pro nejčastěji uváděné důvody tak, jak se objevily v odpovědích všech deseti respondentů. Jednotlivým důvodům byl přiřazen indikátor pořadí podle toho, jakou prioritu jim dávaly oslovené OP. Nejvíce OP označilo jako nejvýznamnější důvod vstupu do OP záměr vylepšit svoji aktuální pozici na trhu. </w:t>
      </w:r>
    </w:p>
    <w:p w14:paraId="30E94EAD" w14:textId="77777777" w:rsidR="00AA3A5F" w:rsidRPr="00B25A22" w:rsidRDefault="00AA3A5F" w:rsidP="00AA3A5F">
      <w:pPr>
        <w:pStyle w:val="Seznamsodrkami3"/>
        <w:numPr>
          <w:ilvl w:val="0"/>
          <w:numId w:val="0"/>
        </w:numPr>
        <w:spacing w:after="120" w:line="360" w:lineRule="atLeast"/>
        <w:rPr>
          <w:bCs/>
          <w:color w:val="000000"/>
          <w:sz w:val="22"/>
          <w:szCs w:val="22"/>
        </w:rPr>
      </w:pPr>
    </w:p>
    <w:p w14:paraId="017C102E" w14:textId="77777777" w:rsidR="00AA3A5F" w:rsidRPr="00B25A22" w:rsidRDefault="00AA3A5F" w:rsidP="00AA3A5F">
      <w:pPr>
        <w:pStyle w:val="Seznamsodrkami3"/>
        <w:numPr>
          <w:ilvl w:val="0"/>
          <w:numId w:val="0"/>
        </w:numPr>
        <w:spacing w:after="120" w:line="360" w:lineRule="atLeast"/>
        <w:rPr>
          <w:bCs/>
          <w:color w:val="000000"/>
          <w:sz w:val="22"/>
          <w:szCs w:val="22"/>
        </w:rPr>
      </w:pPr>
    </w:p>
    <w:p w14:paraId="0F855336" w14:textId="77777777" w:rsidR="00AA3A5F" w:rsidRPr="00B25A22" w:rsidRDefault="00AA3A5F" w:rsidP="00AA3A5F">
      <w:pPr>
        <w:pStyle w:val="Seznamsodrkami3"/>
        <w:numPr>
          <w:ilvl w:val="0"/>
          <w:numId w:val="0"/>
        </w:numPr>
        <w:spacing w:after="120" w:line="360" w:lineRule="atLeast"/>
        <w:rPr>
          <w:bCs/>
          <w:color w:val="000000"/>
          <w:sz w:val="22"/>
          <w:szCs w:val="22"/>
        </w:rPr>
      </w:pPr>
    </w:p>
    <w:p w14:paraId="08D5EF53" w14:textId="77777777" w:rsidR="00AA3A5F" w:rsidRPr="00B25A22" w:rsidRDefault="00AA3A5F" w:rsidP="00AA3A5F">
      <w:pPr>
        <w:pStyle w:val="Seznamsodrkami3"/>
        <w:numPr>
          <w:ilvl w:val="0"/>
          <w:numId w:val="0"/>
        </w:numPr>
        <w:spacing w:after="120" w:line="360" w:lineRule="atLeast"/>
        <w:rPr>
          <w:bCs/>
          <w:color w:val="000000"/>
          <w:sz w:val="22"/>
          <w:szCs w:val="22"/>
        </w:rPr>
      </w:pPr>
    </w:p>
    <w:p w14:paraId="124B04AE" w14:textId="77777777" w:rsidR="00AA3A5F" w:rsidRPr="00B25A22" w:rsidRDefault="00AA3A5F" w:rsidP="00AA3A5F">
      <w:pPr>
        <w:pStyle w:val="Seznamsodrkami3"/>
        <w:numPr>
          <w:ilvl w:val="0"/>
          <w:numId w:val="0"/>
        </w:numPr>
        <w:spacing w:after="120" w:line="360" w:lineRule="atLeast"/>
        <w:rPr>
          <w:bCs/>
          <w:color w:val="000000"/>
          <w:sz w:val="22"/>
          <w:szCs w:val="22"/>
        </w:rPr>
      </w:pPr>
    </w:p>
    <w:p w14:paraId="3FC987A1" w14:textId="77777777" w:rsidR="0039089B" w:rsidRDefault="0039089B" w:rsidP="00AA3A5F">
      <w:pPr>
        <w:tabs>
          <w:tab w:val="num" w:pos="1134"/>
        </w:tabs>
        <w:rPr>
          <w:rFonts w:cs="Times New Roman"/>
          <w:b/>
          <w:sz w:val="22"/>
          <w:lang w:val="cs-CZ"/>
        </w:rPr>
      </w:pPr>
    </w:p>
    <w:p w14:paraId="75BFD6F6" w14:textId="3D31EFCE" w:rsidR="00AA3A5F" w:rsidRPr="0039089B" w:rsidRDefault="00AA3A5F" w:rsidP="00AA3A5F">
      <w:pPr>
        <w:tabs>
          <w:tab w:val="num" w:pos="1134"/>
        </w:tabs>
        <w:rPr>
          <w:rFonts w:cs="Times New Roman"/>
          <w:b/>
          <w:sz w:val="20"/>
          <w:szCs w:val="20"/>
          <w:lang w:val="cs-CZ"/>
        </w:rPr>
      </w:pPr>
      <w:r w:rsidRPr="0039089B">
        <w:rPr>
          <w:rFonts w:cs="Times New Roman"/>
          <w:b/>
          <w:sz w:val="20"/>
          <w:szCs w:val="20"/>
          <w:lang w:val="cs-CZ"/>
        </w:rPr>
        <w:lastRenderedPageBreak/>
        <w:t>Graf P 1.4: Důvody založení organizací producentů v pořadí priorit podle indikátoru pořadí (podle údajů OP)</w:t>
      </w:r>
    </w:p>
    <w:p w14:paraId="5BA68251" w14:textId="77777777" w:rsidR="00AA3A5F" w:rsidRPr="00B25A22" w:rsidRDefault="00AA3A5F" w:rsidP="00AA3A5F">
      <w:pPr>
        <w:tabs>
          <w:tab w:val="num" w:pos="1134"/>
        </w:tabs>
        <w:rPr>
          <w:rFonts w:cs="Times New Roman"/>
          <w:sz w:val="22"/>
          <w:lang w:val="cs-CZ"/>
        </w:rPr>
      </w:pPr>
      <w:r w:rsidRPr="00B25A22">
        <w:rPr>
          <w:rFonts w:cs="Times New Roman"/>
          <w:noProof/>
          <w:sz w:val="22"/>
          <w:lang w:val="cs-CZ" w:eastAsia="cs-CZ"/>
        </w:rPr>
        <w:drawing>
          <wp:inline distT="0" distB="0" distL="0" distR="0" wp14:anchorId="7ED40095" wp14:editId="2627542F">
            <wp:extent cx="5787702" cy="358584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10029" cy="3599678"/>
                    </a:xfrm>
                    <a:prstGeom prst="rect">
                      <a:avLst/>
                    </a:prstGeom>
                    <a:noFill/>
                    <a:ln>
                      <a:noFill/>
                    </a:ln>
                  </pic:spPr>
                </pic:pic>
              </a:graphicData>
            </a:graphic>
          </wp:inline>
        </w:drawing>
      </w:r>
    </w:p>
    <w:p w14:paraId="1DE24D72" w14:textId="77777777" w:rsidR="00AA3A5F" w:rsidRPr="00B25A22" w:rsidRDefault="00AA3A5F" w:rsidP="00AA3A5F">
      <w:pPr>
        <w:rPr>
          <w:rFonts w:cs="Times New Roman"/>
          <w:sz w:val="22"/>
          <w:lang w:val="cs-CZ"/>
        </w:rPr>
      </w:pPr>
    </w:p>
    <w:p w14:paraId="0DC1D719" w14:textId="77777777" w:rsidR="00AA3A5F" w:rsidRPr="0039089B" w:rsidRDefault="00AA3A5F" w:rsidP="00AA3A5F">
      <w:pPr>
        <w:tabs>
          <w:tab w:val="num" w:pos="1134"/>
        </w:tabs>
        <w:rPr>
          <w:rFonts w:cs="Times New Roman"/>
          <w:b/>
          <w:sz w:val="20"/>
          <w:szCs w:val="20"/>
          <w:lang w:val="cs-CZ"/>
        </w:rPr>
      </w:pPr>
      <w:r w:rsidRPr="0039089B">
        <w:rPr>
          <w:rFonts w:cs="Times New Roman"/>
          <w:b/>
          <w:sz w:val="20"/>
          <w:szCs w:val="20"/>
          <w:lang w:val="cs-CZ"/>
        </w:rPr>
        <w:t>Graf P 1.5: Důvody prvovýrobců pro vstup do OP podle četnosti odpovědí v %</w:t>
      </w:r>
    </w:p>
    <w:p w14:paraId="606594E6" w14:textId="77777777" w:rsidR="00AA3A5F" w:rsidRPr="00B25A22" w:rsidRDefault="00AA3A5F" w:rsidP="00AA3A5F">
      <w:pPr>
        <w:tabs>
          <w:tab w:val="num" w:pos="1134"/>
        </w:tabs>
        <w:rPr>
          <w:rFonts w:cs="Times New Roman"/>
          <w:sz w:val="22"/>
          <w:lang w:val="cs-CZ"/>
        </w:rPr>
      </w:pPr>
      <w:r w:rsidRPr="00B25A22">
        <w:rPr>
          <w:rFonts w:cs="Times New Roman"/>
          <w:noProof/>
          <w:sz w:val="22"/>
          <w:lang w:val="cs-CZ" w:eastAsia="cs-CZ"/>
        </w:rPr>
        <w:drawing>
          <wp:inline distT="0" distB="0" distL="0" distR="0" wp14:anchorId="4DD552E2" wp14:editId="0BD990B4">
            <wp:extent cx="5787390" cy="3148189"/>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96907" cy="3153366"/>
                    </a:xfrm>
                    <a:prstGeom prst="rect">
                      <a:avLst/>
                    </a:prstGeom>
                    <a:noFill/>
                    <a:ln>
                      <a:noFill/>
                    </a:ln>
                  </pic:spPr>
                </pic:pic>
              </a:graphicData>
            </a:graphic>
          </wp:inline>
        </w:drawing>
      </w:r>
    </w:p>
    <w:p w14:paraId="340E2BF3" w14:textId="77777777" w:rsidR="00AA3A5F" w:rsidRPr="00B25A22" w:rsidRDefault="00AA3A5F" w:rsidP="00AA3A5F">
      <w:pPr>
        <w:rPr>
          <w:rFonts w:cs="Times New Roman"/>
          <w:sz w:val="22"/>
          <w:lang w:val="cs-CZ"/>
        </w:rPr>
      </w:pPr>
    </w:p>
    <w:p w14:paraId="1EB8CE70" w14:textId="77777777" w:rsidR="00AA3A5F" w:rsidRPr="00B25A22" w:rsidRDefault="00AA3A5F" w:rsidP="003F3510">
      <w:pPr>
        <w:pStyle w:val="UZEINormaln"/>
      </w:pPr>
      <w:r w:rsidRPr="00B25A22">
        <w:t xml:space="preserve">Podle TÚ 47 (4437) z roku 2012 byla během hodnoceného období 2009-2011 slabou stránkou odvětví ovoce a zeleniny v ČR nevhodně nastavená marketingová strategie, silná konkurence zahraničních producentů, jejich lepší organizovanost a tím i ve srovnání s ČR více koncentrovaná nabídka. Investice spojené s pořízením nových pěstebních, sklizňových a posklizňových technologií, s budováním společných skladů umožňující centralizaci nabídky a zlepšení její kvality pomohly jak OP, tak samotným jejím členům ke zlepšení postavení na trhu. Z těchto důvodů lze označit celkové výdaje na daná opatření jako efektivní, což </w:t>
      </w:r>
      <w:r w:rsidRPr="00B25A22">
        <w:lastRenderedPageBreak/>
        <w:t xml:space="preserve">potvrdila i většina respondentů – OP v dotazníkovém šetření, kde 90 % potvrdilo nejvyšší efektivitu a přínosnost u Opatření č. 1, 2 a 3, které příznivě ovlivnilo centralizaci nabídky a pomohlo zlepšit plánování a zvýšit kvalitu nabízené produkce. To se projevilo zlepšením odbytu velkým odběratelům (řetězce a velkoobchod). Ve srovnání s rokem 2008 se v průměru období 2009 - 2011 zvýšil prodej OP těmto odběratelům na 115,6 %. Dalším přínosem bylo zlepšení odbytu zavedením certifikátů kvality a procesu řízení. </w:t>
      </w:r>
    </w:p>
    <w:p w14:paraId="32D46B44" w14:textId="77777777" w:rsidR="00AA3A5F" w:rsidRPr="00B25A22" w:rsidRDefault="00AA3A5F" w:rsidP="003F3510">
      <w:pPr>
        <w:pStyle w:val="UZEINormaln"/>
      </w:pPr>
      <w:r w:rsidRPr="00B25A22">
        <w:t xml:space="preserve">Na základě TÚ 47 (4437) z roku 2012 lze konstatovat, že využitím Operačních programů došlo ke zlepšení výkonnosti zemědělských podniků členů OP (měřeno jednotkovou hodnotou realizované produkce), zvýšení intenzity výroby (měřeno objemem produkce připadající na hektar pěstební plochy a objemem produkce připadající na člena). Jednotková hodnota produkce se v průměru období 2009 - 2011 ve srovnání s rokem 2008 zvýšila na 102,9 %, objem produkce z hektaru vzrostl na 102,8 % a objem produkce na aktivního člena dosáhl 105,7 %. Na základě toho lze usuzovat, že výdaje byly vynaloženy efektivně, neboť měly příznivý dopad na produkci členů OP. Vnitrostátní strategie ČR tak přispěla ke stabilizaci příjmů </w:t>
      </w:r>
      <w:proofErr w:type="gramStart"/>
      <w:r w:rsidRPr="00B25A22">
        <w:t>producentů - členů</w:t>
      </w:r>
      <w:proofErr w:type="gramEnd"/>
      <w:r w:rsidRPr="00B25A22">
        <w:t xml:space="preserve"> OP a pomohla udržet jejich konkurenceschopnost. Zároveň došlo ke zvýšení atraktivity členství, neboť se od roku 2008 do roku 2011 průběžně zvyšoval počet aktivních členů OP ze 130 na 150. Organizace producentů jsou schopny poskytovat svým členům služby, které by oni sami nemohli provozovat (např. pořízení systémů certifikace, kontinuálnost a centralizaci nabídky produkce uváděné na trh (především řetězcům a velkoobchodu), ale i poradenské služby, skladovací kapacity aj. </w:t>
      </w:r>
    </w:p>
    <w:p w14:paraId="1A23DB9C" w14:textId="77777777" w:rsidR="00AA3A5F" w:rsidRPr="00B25A22" w:rsidRDefault="00AA3A5F" w:rsidP="003F3510">
      <w:pPr>
        <w:pStyle w:val="UZEINormaln"/>
      </w:pPr>
      <w:r w:rsidRPr="00B25A22">
        <w:t>Při hodnocení mrtvé váhy, tj. v rámci dotazníkového šetření odpovědí na otázku, zda by byly dané investice alokovány na příslušné akce i kdyby neexistovaly podpory, tak nejméně 50 % ze všech dotazovaných odpovědělo kladně. Pouze u vzdělávání byla převažující odpověď záporná, což dokladuje, že toto opatření není dosud prioritou pro OP. U environmentálních opatření a řízení krizí naopak nejméně 80 %, resp. 100 % respondentů uvedlo, že by považovali za nezbytné do těchto Opatření investovat i v případě neexistence podpor.</w:t>
      </w:r>
    </w:p>
    <w:p w14:paraId="6CACA338" w14:textId="77777777" w:rsidR="00AA3A5F" w:rsidRPr="00B25A22" w:rsidRDefault="00AA3A5F" w:rsidP="00AA3A5F">
      <w:pPr>
        <w:rPr>
          <w:rFonts w:cs="Times New Roman"/>
          <w:b/>
          <w:sz w:val="22"/>
          <w:u w:val="single"/>
          <w:lang w:val="cs-CZ"/>
        </w:rPr>
      </w:pPr>
    </w:p>
    <w:p w14:paraId="35FE9A59" w14:textId="77777777" w:rsidR="00AA3A5F" w:rsidRPr="003F3510" w:rsidRDefault="00AA3A5F" w:rsidP="003F3510">
      <w:pPr>
        <w:pStyle w:val="UZEINormaln"/>
        <w:rPr>
          <w:b/>
          <w:bCs/>
          <w:u w:val="single"/>
        </w:rPr>
      </w:pPr>
      <w:r w:rsidRPr="003F3510">
        <w:rPr>
          <w:b/>
          <w:bCs/>
          <w:u w:val="single"/>
        </w:rPr>
        <w:t>Zhodnocení jednotlivých opatření</w:t>
      </w:r>
    </w:p>
    <w:p w14:paraId="03741DAE" w14:textId="77777777" w:rsidR="00AA3A5F" w:rsidRPr="003F3510" w:rsidRDefault="00AA3A5F" w:rsidP="003F3510">
      <w:pPr>
        <w:pStyle w:val="UZEINormaln"/>
        <w:rPr>
          <w:b/>
          <w:bCs/>
        </w:rPr>
      </w:pPr>
      <w:r w:rsidRPr="003F3510">
        <w:rPr>
          <w:b/>
          <w:bCs/>
        </w:rPr>
        <w:t>Opatření č. 1 - Plánování produkce</w:t>
      </w:r>
    </w:p>
    <w:p w14:paraId="18A34B6B" w14:textId="77777777" w:rsidR="00AA3A5F" w:rsidRPr="00B25A22" w:rsidRDefault="00AA3A5F" w:rsidP="003F3510">
      <w:pPr>
        <w:pStyle w:val="UZEINormaln"/>
      </w:pPr>
      <w:r w:rsidRPr="00B25A22">
        <w:t>Opatření č. 1 zaměřené na plánování produkce využilo celkem 70 % všech OP. Finanční prostředky měly v průběhu let klesající trend. 57 % OP, které využily Opatření č. 1, uvedlo, že vynaložené prostředky přispěly především k rychlému zpracování dat o aktuálním stavu produkce a k plánování konkrétních podmínek objemu dodávek, kvality produkce a termínů s odběrateli. Dále u 29 % OP přispěly ke stabilizaci nabídky, k ucelení jednotlivých partií pro odběratele, ke koordinaci produkce odrůd nebo druhů, k restrukturalizaci sadů popř. koordinaci produkce jednotlivých odrůd a druhů a k optimalizaci produkce. Jedna OP uvedla, že došlo také k optimalizaci produkčních nákladů. Výše uvedená pozitiva jsou předpokladem zvýšení konkurenceschopnosti OP a jejich členů. Efektivita vložených prostředků se projevila na zvýšení změny jednotkové hodnoty produkce uvedené na trh a na indexu celkového objemu produkce OP (viz Graf 1 a 2).</w:t>
      </w:r>
    </w:p>
    <w:p w14:paraId="4B910BFB" w14:textId="77777777" w:rsidR="00AA3A5F" w:rsidRPr="00B25A22" w:rsidRDefault="00AA3A5F" w:rsidP="003F3510">
      <w:pPr>
        <w:pStyle w:val="UZEINormaln"/>
        <w:rPr>
          <w:bCs/>
          <w:color w:val="000000"/>
        </w:rPr>
      </w:pPr>
      <w:r w:rsidRPr="00B25A22">
        <w:rPr>
          <w:bCs/>
          <w:color w:val="000000"/>
        </w:rPr>
        <w:t xml:space="preserve">Všechny OP, které využily Opatření č. 1, použily finanční prostředky zejména na osobní náklady související s plánováním produkce. Dále pomohly organizacím producentů, především na začátku hodnoceného období, vybavit se kancelářskou a výpočetní technikou a pořízením softwaru. To mělo za důsledek rychlé zpracování dat o aktuálním stavu sklizně a vhodné plánování podmínek dodávek produkce z hlediska objemu, kvality a termínů dodávek odběratelům. Vložené finance do Opatření č. 1 přispěly ke stabilizaci nabídky ovoce a zeleniny organizací producentů, ke koordinaci produkce jednotlivých odrůd a druhů, ke kompletaci </w:t>
      </w:r>
      <w:r w:rsidRPr="00B25A22">
        <w:rPr>
          <w:bCs/>
          <w:color w:val="000000"/>
        </w:rPr>
        <w:lastRenderedPageBreak/>
        <w:t xml:space="preserve">jednotlivých partií dodávek pro odběratele a k restrukturalizaci sadů, umožňující realizovat výsadby jednotlivých druhů a odrůd podle poptávky odběratelů a tím vytvořit i předpoklad dobrého zpeněžení úrody. Využitá finanční podpora tohoto Opatření podporovala také další Opatření, a to Opatření č. 2 (Kvalita produkce), kdy díky vybavení kancelářskou a výpočetní technikou včetně nákladů na pracovníky bylo možné připravit zboží v termínu podle potřeb odběratele a nedocházelo ke snížení jakosti v důsledku časové prodlevy dodávek od pěstitele ke konečnému spotřebiteli. Stejnou měrou ovlivňuje Opatření č. 1 také Opatření č. 3 (Odbyt produkce) plynulostí nabídky ucelených partií v požadovaném množství a kvalitě po delší období a dále Opatření č. 5 (Předcházení krizím a jejich řešení), neboť plánováním produkce lze předejít krizím na trhu. </w:t>
      </w:r>
    </w:p>
    <w:p w14:paraId="16857A4C" w14:textId="77777777" w:rsidR="00AA3A5F" w:rsidRPr="003F3510" w:rsidRDefault="00AA3A5F" w:rsidP="003F3510">
      <w:pPr>
        <w:pStyle w:val="UZEINormaln"/>
        <w:rPr>
          <w:b/>
          <w:bCs/>
        </w:rPr>
      </w:pPr>
      <w:r w:rsidRPr="003F3510">
        <w:rPr>
          <w:b/>
          <w:bCs/>
        </w:rPr>
        <w:t>Opatření č. 2 – Kvalita produkce</w:t>
      </w:r>
    </w:p>
    <w:p w14:paraId="19B16E7C" w14:textId="77777777" w:rsidR="00AA3A5F" w:rsidRPr="00B25A22" w:rsidRDefault="00AA3A5F" w:rsidP="003F3510">
      <w:pPr>
        <w:pStyle w:val="UZEINormaln"/>
      </w:pPr>
      <w:r w:rsidRPr="00B25A22">
        <w:rPr>
          <w:bCs/>
          <w:color w:val="000000"/>
        </w:rPr>
        <w:t>Lze sledovat významný vliv působení akcí zaměřených na zvýšení kvality a na vývoj výkonnosti v souvislosti se zvýšením kvality produkce. Na základě dotazníkového šetření lze dokladovat vysoký zájem OP o zlepšování kvality produkce. Více než 90 % respondentů dokladovalo využití daného Opatření a jimi vynaložené prostředky byly druhé nejvyšší v rámci všech Opatření uvedených v Operačních programech. Téměř 89 % respondentů uvedlo, že vynaložené prostředky přispěly ke stabilizaci výnosů a zlepšení kvality produkce. Téměř 55 % respondentů potvrdilo, že došlo ke zvýšení objemu sklizených produktů a stejné procento udalo zlepšení úrovně přepravy. Další pozitiva lze spatřovat v zavádění certifikačních systémů kvality, což potvrdilo 45 % dotazovaných OP. Zmíněné zvýšení kvality produkce spojené se zlepšením technologií v oblasti pěstování, obalové techniky a přepravy produkce jsou předpokladem pro udržení nebo zvýšení konkurenceschopnosti podpořených OP a tím i jejich členů - producentů ovoce a zeleniny.</w:t>
      </w:r>
    </w:p>
    <w:p w14:paraId="46E8395A" w14:textId="77777777" w:rsidR="00AA3A5F" w:rsidRPr="00B25A22" w:rsidRDefault="00AA3A5F" w:rsidP="003F3510">
      <w:pPr>
        <w:pStyle w:val="UZEINormaln"/>
      </w:pPr>
      <w:r w:rsidRPr="00B25A22">
        <w:t xml:space="preserve">Investice do Opatření č. 2 Kvalita produkce jsou v rámci Operačních programů VS ČR považovány za jedny z nejvýznamnějších z pohledu potřeb prvovýrobců i OP, neboť přispívají k udržení nebo zlepšení konkurenceschopnosti producentů sdružených do OP ovoce a zeleniny. Celkem je využilo 90 % organizací producentů. Z toho více než polovina (66 %) uvedlo, že by pro své členy tyto technologie pořídily i v případě neexistence podpor. </w:t>
      </w:r>
    </w:p>
    <w:p w14:paraId="55ED1546" w14:textId="77777777" w:rsidR="00AA3A5F" w:rsidRPr="00B25A22" w:rsidRDefault="00AA3A5F" w:rsidP="003F3510">
      <w:pPr>
        <w:pStyle w:val="UZEINormaln"/>
      </w:pPr>
      <w:r w:rsidRPr="00B25A22">
        <w:t xml:space="preserve">Je zřejmé, že u obou odvětví byla potřeba organizací producentů v souladu s VS ČR, neboť formou čerpání podpory na dané akce Opatření č. 2 došlo k posílení a urychlení procesu vybavení prvovýrobců nezbytnými pěstitelskými technologiemi, technologiemi pro dopravu produkce, přepravními zařízeními a k získání potřebných certifikátů kvality. Dílčí cíl zvýšení kvality produkce tak byl naplňován, což dokládá vyšší realizační cena prodaných produktů za období 2009 - 2011 ve srovnání s rokem 2008 a rovněž proti průměru celého odvětví ovoce a zeleniny ČR. Celkový cíl zlepšení konkurenceschopnosti byl u členů OP uskutečňován, i když v celonárodním měřítku se zatím neprojevil. Jedním z důvodů je poměrně krátká doba hodnocení Operačních programů a dosud nízký podíl dodávané produkce prostřednictvím OP na domácí trh. Vzhledem k tomu, že o čerpání podpor na akce Opatření č. 2 byl ze strany OP velký zájem, je patrné, že se jedná o opatření, které přímo reaguje na současné potřeby OP a jejich členů, a proto bude nutné jej dále zachovat, event. rozšiřovat podle měnících se potřeb. Dá se do budoucna očekávat stále rostoucí tlak odběratelů na kvalitu produkce. Z těchto důvodů lze považovat podpory na získání certifikátů kvality za velmi významné a nezbytné pro udržení odbytu produkce do tržní sítě. </w:t>
      </w:r>
    </w:p>
    <w:p w14:paraId="035607A2" w14:textId="77777777" w:rsidR="00AA3A5F" w:rsidRPr="003F3510" w:rsidRDefault="00AA3A5F" w:rsidP="003F3510">
      <w:pPr>
        <w:pStyle w:val="UZEINormaln"/>
        <w:rPr>
          <w:b/>
          <w:bCs/>
        </w:rPr>
      </w:pPr>
      <w:r w:rsidRPr="003F3510">
        <w:rPr>
          <w:b/>
          <w:bCs/>
        </w:rPr>
        <w:t>Opatření č. 3 – Odbyt produkce</w:t>
      </w:r>
    </w:p>
    <w:p w14:paraId="166F863B" w14:textId="77777777" w:rsidR="00AA3A5F" w:rsidRPr="00B25A22" w:rsidRDefault="00AA3A5F" w:rsidP="003F3510">
      <w:pPr>
        <w:pStyle w:val="UZEINormaln"/>
      </w:pPr>
      <w:r w:rsidRPr="00B25A22">
        <w:rPr>
          <w:color w:val="000000"/>
        </w:rPr>
        <w:t xml:space="preserve">Opatření zaměřené na odbyt produkce bylo v období 2009 – 2011 odbytovými organizacemi </w:t>
      </w:r>
      <w:r w:rsidRPr="00B25A22">
        <w:t xml:space="preserve">spolu s akcemi na zlepšení nebo udržení kvality produktů hlavními opatřeními v rámci Operačních programů. Na zlepšení odbytu bylo vynaloženo 37,7 % veškerých finančních </w:t>
      </w:r>
      <w:r w:rsidRPr="00B25A22">
        <w:lastRenderedPageBreak/>
        <w:t>prostředků za celé sledované období. Všechny OP je v průběhu hodnoceného období využily. Požadavky odběratelů se stupňovaly a udržení se na trhu bylo obtížné. Zlepšením marketingu nebo jeho zavedení umožnilo producentům lépe se v tržním prostředí orientovat. OP investovaly do řady oblastí, které měly zvýšit úroveň odbytu. Investovalo se do nových technologií pro posklizňovou úpravu produkce, technologií pro třídění a balení produkce. Svoji důležitou roli sehrála propagace obchodních značek producentů soustředěných v OP.</w:t>
      </w:r>
    </w:p>
    <w:p w14:paraId="4F7D37A3" w14:textId="77777777" w:rsidR="00AA3A5F" w:rsidRPr="00B25A22" w:rsidRDefault="00AA3A5F" w:rsidP="003F3510">
      <w:pPr>
        <w:pStyle w:val="UZEINormaln"/>
      </w:pPr>
      <w:r w:rsidRPr="00B25A22">
        <w:t>S rozvojem obchodních řetězců v ČR v posledních 10 až 15 letech se výrazně zvýšil požadavek na úroveň marketingu. Z těchto důvodů bylo nezbytné investovat do příslušných opatření ke splnění těchto požadavků. Právě i možnost získat finanční pobídky v oblasti marketingu byl jeden ze stimulů k zakládání odbytových organizací v ČR.</w:t>
      </w:r>
    </w:p>
    <w:p w14:paraId="11CC3685" w14:textId="77777777" w:rsidR="00AA3A5F" w:rsidRPr="00B25A22" w:rsidRDefault="00AA3A5F" w:rsidP="003F3510">
      <w:pPr>
        <w:pStyle w:val="UZEINormaln"/>
      </w:pPr>
      <w:r w:rsidRPr="00B25A22">
        <w:t>V dotazníkovém šetření bylo zjišťováno, do jaké míry investované prostředky přispěly ke zlepšení odbytu produkce. Nejčastější kladné hodnocení bylo vyjádřeno v oblasti zlepšení úrovně třídění a balení produkce. Dodavatelé ovoce a zeleniny jsou tím atraktivnější pro své odběratele, čím více jsou schopni nabídnout uniformní partie zboží i škálu různých balení. Akce a kroky zaměřené na zlepšení marketingu, včetně propagace a komunikační činnosti, dávají možnost organizacím producentů investovat do zařízení k mytí, třídění a balení ovoce a zeleniny. Bohužel technologie na třídění jsou v řadě případů natolik investičně náročné, že je není vždy možné pořizovat z Operačních programů, kde je operační fond limitován procenty z obchodovatelné produkce. Některé organizace producentů využívají budování těchto zařízení po částech. Investice v této oblasti výrazně přispívají k lepšímu marketingu produktů, k ucelení partií, které jednotliví členové dodávají organizaci producentů.</w:t>
      </w:r>
    </w:p>
    <w:p w14:paraId="625438AC" w14:textId="77777777" w:rsidR="00AA3A5F" w:rsidRPr="00B25A22" w:rsidRDefault="00AA3A5F" w:rsidP="003F3510">
      <w:pPr>
        <w:pStyle w:val="UZEINormaln"/>
      </w:pPr>
      <w:r w:rsidRPr="00B25A22">
        <w:t xml:space="preserve">Na předním místě zástupci OP zmiňovali také akce spojené se zvyšováním přidané hodnoty produktů. Řada organizací producentů využívá prostředky k pořízení technologií k lepení </w:t>
      </w:r>
      <w:proofErr w:type="spellStart"/>
      <w:r w:rsidRPr="00B25A22">
        <w:t>minietiket</w:t>
      </w:r>
      <w:proofErr w:type="spellEnd"/>
      <w:r w:rsidRPr="00B25A22">
        <w:t xml:space="preserve"> na jednotlivé plody i k pořízení samotných </w:t>
      </w:r>
      <w:proofErr w:type="spellStart"/>
      <w:r w:rsidRPr="00B25A22">
        <w:t>minietiket</w:t>
      </w:r>
      <w:proofErr w:type="spellEnd"/>
      <w:r w:rsidRPr="00B25A22">
        <w:t xml:space="preserve">. Obchodní řetězce dnes požadují, aby volně prodejné produkty byly na každém plodu takto označeny, jednak k lepší orientaci při prodeji, kvůli nezpochybnitelné dohledatelnosti, ke zvýšení atraktivnosti zboží při prodeji a k propagaci produktů, např. ochrannou známkou, místem původu nebo značkou kvality. U takto označených produktů je dosahováno vyššího zpeněžení. </w:t>
      </w:r>
    </w:p>
    <w:p w14:paraId="540F0CB4" w14:textId="77777777" w:rsidR="00AA3A5F" w:rsidRPr="00B25A22" w:rsidRDefault="00AA3A5F" w:rsidP="003F3510">
      <w:pPr>
        <w:pStyle w:val="UZEINormaln"/>
      </w:pPr>
      <w:r w:rsidRPr="00B25A22">
        <w:t xml:space="preserve">Jako efektivně vydané viděli členové OP finanční prostředky věnované zvýšení výkonnosti marketingu ovoce a zeleniny. Zvýšení výkonnosti marketingu produktů u organizací producentů je dosahováno zejména profesionálním marketingovým manažerem. Organizace producentů financují operačním fondem mzdové náklady marketingového manažera. Jeho náplní práce je nabídka zboží, dohadování cen, termínu a sortimentu dodávek. To umožňuje organizacím producentů mít profesionálního marketingového manažera, který je schopen na vysoké úrovni a se znalostí trhu jednat o marketingu s nákupčími odběratelů, zejména obchodních řetězců. Tyto prostředky zvyšují úroveň obchodování organizací producentů. </w:t>
      </w:r>
    </w:p>
    <w:p w14:paraId="606736A5" w14:textId="77777777" w:rsidR="00AA3A5F" w:rsidRPr="00B25A22" w:rsidRDefault="00AA3A5F" w:rsidP="003F3510">
      <w:pPr>
        <w:pStyle w:val="UZEINormaln"/>
      </w:pPr>
      <w:r w:rsidRPr="00B25A22">
        <w:t xml:space="preserve">V dotaznících byly příznivě hodnoceny investované prostředky na zvýšení kvality skladování. Základním požadavkem dobrého zpeněžení produkce je taková úroveň skladování, která bude kvalitu produktu v čase snižovat jen minimálně. S tím souvisí i požadavky odběratelů, zejména obchodních řetězců, které požadují po svých dodavatelích nejen vysokou kvalitu, ale také co nejdelší období, po které je možné produkty dodávat. Například u jablek, cibule, mrkve a zelí nejlépe po převážnou část roku nebo i celoročně. Čím déle jsou schopni dodavatelé dodávat obchodním řetězcům, tím je jejich atraktivita vyšší. Vývoj ve skladování jde neustále dopředu a vznikají nové skladovací technologie a metody. Některé organizace producentů využily prostředků Operačního fondu na investice do modernizace skladování. Potřeby investic do skladování jsou velmi vysoké, zatímco objem prostředků z Operačních programů je nedostatečný. Některé organizace producentů tuto situaci řeší tím, že si některé sklady </w:t>
      </w:r>
      <w:r w:rsidRPr="00B25A22">
        <w:lastRenderedPageBreak/>
        <w:t xml:space="preserve">pronajmou, aby bylo možné sklizně, zejména v letech s vyšší produkcí, uskladnit a následně prodat. </w:t>
      </w:r>
    </w:p>
    <w:p w14:paraId="72A84F4D" w14:textId="77777777" w:rsidR="00AA3A5F" w:rsidRPr="00B25A22" w:rsidRDefault="00AA3A5F" w:rsidP="003F3510">
      <w:pPr>
        <w:pStyle w:val="UZEINormaln"/>
      </w:pPr>
      <w:r w:rsidRPr="00B25A22">
        <w:t xml:space="preserve">Potřebné byly i prostředky věnované na lepší využití obalové techniky a na zlepšení úrovně skladového hospodářství. Prostřednictvím kvalitních a šetrných obalů se minimalizují ztráty na kvalitě, následně se zvýší výkonnost marketingu uskladněných produktů. Toto opatření je velmi často realizováno. Souvisí to s poměrně špatným stavem obalů v ČR. </w:t>
      </w:r>
    </w:p>
    <w:p w14:paraId="3DF72460" w14:textId="77777777" w:rsidR="00AA3A5F" w:rsidRPr="00B25A22" w:rsidRDefault="00AA3A5F" w:rsidP="003F3510">
      <w:pPr>
        <w:pStyle w:val="UZEINormaln"/>
      </w:pPr>
      <w:r w:rsidRPr="00B25A22">
        <w:t xml:space="preserve">Obaly pořízené operačním fondem a ve vlastnictví organizace producentů mohou být využívány efektivně u více členů s ohledem na konkrétní produkci každého člena. Organizace producentů je schopna zajistit maximální možné vytížení obalu a v řadě případů i opakované použití v jedné sezóně koordinací obalů mezi členy, kteří pěstují více druhů nebo odrůdy s rozdílným termínem sklizně. </w:t>
      </w:r>
    </w:p>
    <w:p w14:paraId="4D3B43D3" w14:textId="77777777" w:rsidR="00AA3A5F" w:rsidRPr="003F3510" w:rsidRDefault="00AA3A5F" w:rsidP="003F3510">
      <w:pPr>
        <w:pStyle w:val="UZEINormaln"/>
        <w:rPr>
          <w:b/>
          <w:bCs/>
        </w:rPr>
      </w:pPr>
      <w:r w:rsidRPr="003F3510">
        <w:rPr>
          <w:b/>
          <w:bCs/>
        </w:rPr>
        <w:t>Opatření č. 4 – Vzdělávání - školení</w:t>
      </w:r>
    </w:p>
    <w:p w14:paraId="75A5E465" w14:textId="77777777" w:rsidR="00AA3A5F" w:rsidRPr="00B25A22" w:rsidRDefault="00AA3A5F" w:rsidP="003F3510">
      <w:pPr>
        <w:pStyle w:val="UZEINormaln"/>
      </w:pPr>
      <w:r w:rsidRPr="00B25A22">
        <w:rPr>
          <w:color w:val="000000"/>
        </w:rPr>
        <w:t>Opatření č. 4 přispělo k odborné úrovni producentů. Prostřednictvím školení byly získány nejnovější poznatky o Opatřeních VS ČR, které posílily konkurenceschopnost producentů ovoce a zeleniny a které jsou zaměřené na plánování produkce, jakost ovoce a zeleniny a na zlepšení odbytu z hlediska marketingu a propagace OP, na zvýšení přidané hodnoty produkce, zlepšení stabilizace cen a příjmů producentů prostřednictvím vhodných odrůd a druhů ovoce a zeleniny s cílem zvýšit prodej a spotřebu ovoce a zeleniny na základě požadavků trhu, resp. spotřebitelů ovoce a zeleniny.</w:t>
      </w:r>
    </w:p>
    <w:p w14:paraId="7837E25C" w14:textId="77777777" w:rsidR="00AA3A5F" w:rsidRPr="00B25A22" w:rsidRDefault="00AA3A5F" w:rsidP="003F3510">
      <w:pPr>
        <w:pStyle w:val="UZEINormaln"/>
      </w:pPr>
      <w:r w:rsidRPr="00B25A22">
        <w:t>Školení a poradenské služby byly zaměřeny na ekologickou produkci, byť v malém rozsahu. OP se ekologické produkci nevěnují, ale poskytují svým členům základní informace o tomto způsobu pěstování ovoce a zeleniny.</w:t>
      </w:r>
    </w:p>
    <w:p w14:paraId="12F3E460" w14:textId="77777777" w:rsidR="00AA3A5F" w:rsidRPr="00B25A22" w:rsidRDefault="00AA3A5F" w:rsidP="003F3510">
      <w:pPr>
        <w:pStyle w:val="UZEINormaln"/>
      </w:pPr>
      <w:r w:rsidRPr="00B25A22">
        <w:t>Integrované produkci a integrované ochraně před škůdci je věnována značná pozornost, protože pěstování ovoce a zeleniny v tomto režimu je předpokladem k získání mezinárodního certifikátu GLOBALGAP.</w:t>
      </w:r>
    </w:p>
    <w:p w14:paraId="318D0194" w14:textId="77777777" w:rsidR="00AA3A5F" w:rsidRPr="00B25A22" w:rsidRDefault="00AA3A5F" w:rsidP="003F3510">
      <w:pPr>
        <w:pStyle w:val="UZEINormaln"/>
      </w:pPr>
      <w:r w:rsidRPr="00B25A22">
        <w:t>Opatření zaměřené na vzdělávání a školení bylo členy OP příznivě hodnoceno. Předpokládá se, že bude v dalších letech ještě obtížnější udržet si pozici na trhu a držet krok s požadavky trhu. Znalost trhu a určitá předvídatelnost požadavků spotřebitelů se bez odborných znalostí a informací neobejde. Důraz by měl být kladen na kvalitní výběr vzdělávacích akcí na vysoké odborné úrovni podle potřeb OP. Doporučuje se i nadále začlenit Opatření na vzdělávání a školení do Operačních programů organizací producentů.</w:t>
      </w:r>
    </w:p>
    <w:p w14:paraId="09826848" w14:textId="77777777" w:rsidR="00AA3A5F" w:rsidRPr="003F3510" w:rsidRDefault="00AA3A5F" w:rsidP="003F3510">
      <w:pPr>
        <w:pStyle w:val="UZEINormaln"/>
        <w:rPr>
          <w:b/>
          <w:bCs/>
        </w:rPr>
      </w:pPr>
      <w:r w:rsidRPr="003F3510">
        <w:rPr>
          <w:b/>
          <w:bCs/>
        </w:rPr>
        <w:t>Opatření č. 5 – Předcházení krizím a jejich řešení</w:t>
      </w:r>
    </w:p>
    <w:p w14:paraId="6AE739A4" w14:textId="77777777" w:rsidR="00AA3A5F" w:rsidRPr="00B25A22" w:rsidRDefault="00AA3A5F" w:rsidP="003F3510">
      <w:pPr>
        <w:pStyle w:val="UZEINormaln"/>
      </w:pPr>
      <w:r w:rsidRPr="00B25A22">
        <w:rPr>
          <w:bCs/>
          <w:color w:val="000000"/>
        </w:rPr>
        <w:t xml:space="preserve">Opatření č. 5 zaměřené na předcházení krizím a jejich řešení využilo 6 OP, tj. 60 % z celkového počtu. </w:t>
      </w:r>
      <w:r w:rsidRPr="00B25A22">
        <w:t>Bez započtení Opatření č. 7 (Další opatření) byly čerpané prostředky nejnižší ze všech Opatření. V průběhu let se finanční prostředky do tohoto Opatření zvyšovaly především díky růstu investic vložených na pojištění úrody. Zejména však byly finanční prostředky vkládány zúčastněnými OP na akci propagační a komunikační činnost. Všem organizacím producentů, které využily tohoto Opatření, přispěly investované prostředky ke stabilizaci příjmu producentů a v 50 % došlo ke zvýšení prodeje ovoce a zeleniny.</w:t>
      </w:r>
    </w:p>
    <w:p w14:paraId="439B3E37" w14:textId="77777777" w:rsidR="00AA3A5F" w:rsidRPr="00B25A22" w:rsidRDefault="00AA3A5F" w:rsidP="003F3510">
      <w:pPr>
        <w:pStyle w:val="UZEINormaln"/>
      </w:pPr>
      <w:r w:rsidRPr="00B25A22">
        <w:t xml:space="preserve">V rámci Opatření č. 5 nebyly využívány akce stažení ovoce a zeleniny z trhu, na sklízení nezralého ovoce a zeleniny nebo jejich nesklízení a akce na podporu správních nákladů při zřizování vzájemných fondů. Prostředky byly organizacemi producentů čerpány pouze na propagační a komunikační činnost a na pojištění úrody (na základě NV č. 318/2008 Sb., § 9). Prostředky na sklízení nezralého ovoce a zeleniny nebo jejich nesklízení a na podporu správních nákladů při zřizování vzájemných fondů nebyly využívány proto, že národní </w:t>
      </w:r>
      <w:r w:rsidRPr="00B25A22">
        <w:lastRenderedPageBreak/>
        <w:t xml:space="preserve">legislativa dosud neimplementovala tuto možnost do příslušných předpisů (viz Nařízení vlády č. 318/2008 Sb., § 9). </w:t>
      </w:r>
    </w:p>
    <w:p w14:paraId="35AEA4B7" w14:textId="77777777" w:rsidR="00AA3A5F" w:rsidRPr="00B25A22" w:rsidRDefault="00AA3A5F" w:rsidP="003F3510">
      <w:pPr>
        <w:pStyle w:val="UZEINormaln"/>
      </w:pPr>
      <w:r w:rsidRPr="00B25A22">
        <w:t xml:space="preserve">Celková hodnota pojištěného rizika v roce 2009 činila 1,3 mil. EUR, v roce 2010 byla ve výši 1,5 mil. EUR a v roce 2011 výrazně vzrostla na 10,2 mil. EUR. </w:t>
      </w:r>
    </w:p>
    <w:p w14:paraId="07F1C711" w14:textId="77777777" w:rsidR="00AA3A5F" w:rsidRPr="003F3510" w:rsidRDefault="00AA3A5F" w:rsidP="003F3510">
      <w:pPr>
        <w:pStyle w:val="UZEINormaln"/>
        <w:rPr>
          <w:b/>
          <w:color w:val="000000"/>
        </w:rPr>
      </w:pPr>
      <w:r w:rsidRPr="003F3510">
        <w:rPr>
          <w:b/>
          <w:color w:val="000000"/>
        </w:rPr>
        <w:t>Opatření č. 6 - Environmentální opatření</w:t>
      </w:r>
    </w:p>
    <w:p w14:paraId="616E8EB2" w14:textId="77777777" w:rsidR="00AA3A5F" w:rsidRPr="00B25A22" w:rsidRDefault="00AA3A5F" w:rsidP="003F3510">
      <w:pPr>
        <w:pStyle w:val="UZEINormaln"/>
        <w:rPr>
          <w:bCs/>
          <w:color w:val="000000"/>
        </w:rPr>
      </w:pPr>
      <w:r w:rsidRPr="00B25A22">
        <w:rPr>
          <w:bCs/>
          <w:color w:val="000000"/>
        </w:rPr>
        <w:t>Lze konstatovat, že všech 10 organizací producentů, které měly zpracovány své Operační programy, vynaložily investice na nejméně dvě akce některého z environmentálních opatření. Celkové výdaje za tato Opatření ve sledovaném období činily 0,77 mil. EUR. Největší počet OP (tj. 7 OP) investoval do techniky zvyšující přirozenou úrodnost půdy a podíl zde dosahoval více než 52 %. Významné byly rovněž výdaje za akce prosazující úsporu energie, které využily celkem 3 OP a celkový podíl výdajů z Opatření č. 6 dosahoval téměř 28 %. Šetrné hospodaření s vodou využily 3 OP a podíl z celkových výdajů dosahoval 12 %.</w:t>
      </w:r>
    </w:p>
    <w:p w14:paraId="6965335B" w14:textId="77777777" w:rsidR="00AA3A5F" w:rsidRPr="00B25A22" w:rsidRDefault="00AA3A5F" w:rsidP="003F3510">
      <w:pPr>
        <w:pStyle w:val="UZEINormaln"/>
        <w:rPr>
          <w:bCs/>
          <w:color w:val="000000"/>
        </w:rPr>
      </w:pPr>
      <w:r w:rsidRPr="00B25A22">
        <w:rPr>
          <w:bCs/>
          <w:color w:val="000000"/>
        </w:rPr>
        <w:t xml:space="preserve">V rámci jednotlivých let byly celkové výdaje v rámci Opatření téměř vyrovnané a pohybovaly se pod hranicí 300 tis. EUR. Z toho největší položku představovaly výdaje v rámci Podopatření 6.1. zahrnující akce zaměřené na zvýšení přirozené úrodnosti půdy v hodnotě 403,64 tis. EUR s podílem 52,2 % na celkových výdajích za Opatření č. 6. Dále byly významné výdaje zahrnuté v Podopatření 6.8 zaměřené na akce prosazující úspory energie s podílem na celkových výdajích Environmentálních opatření dosahujícím 27,9 %. Výdaje na akce zaměřené na protierozní opatření a opatření přispívající k šetrnému hospodaření s vodou v krajině zahrnuté do Podopatření 6.2. se podílely na celkových výdajích Opatření č. 6 více než 12 %. Výdaje na jiné akce v rámci hodnoceného Opatření č. 6 byly nižší a představovaly 6% podíl. </w:t>
      </w:r>
    </w:p>
    <w:p w14:paraId="6A700B17" w14:textId="77777777" w:rsidR="00AA3A5F" w:rsidRPr="00B25A22" w:rsidRDefault="00AA3A5F" w:rsidP="003F3510">
      <w:pPr>
        <w:pStyle w:val="UZEINormaln"/>
        <w:rPr>
          <w:bCs/>
          <w:color w:val="000000"/>
        </w:rPr>
      </w:pPr>
      <w:r w:rsidRPr="00B25A22">
        <w:rPr>
          <w:bCs/>
          <w:color w:val="000000"/>
        </w:rPr>
        <w:t xml:space="preserve">Na základě dotazníkového šetření a údajů z Výročních zpráv OP bylo zjištěno, že největší zájem organizací producentů v rámci  Opatření č. 6 byl o akce zaměřené na investice související s podporou nechemických metod ochrany, které využilo celkem 6 OP (tj. 60 %) z celkového počtu 10 OP. Z toho se jednalo zejména o výdaje na pořízení netkaných textilií na pokrytí porostu především v případě producentů zeleniny (celkem využily 4 OP, tj. 40 % z počtu 10) a o výdaje za introdukci predátorů a použití biologických metod ochrany, které využily 2 OP, tj. 20 %. Významné byly rovněž výdaje v rámci Podopatření 6.1 zahrnující akce na zvýšení přirozené úrodnosti půdy, kterých se zúčastnilo 5 OP (50 %). Jednalo se např. o pořizování techniky zvyšující obsah organické hmoty v půdě (tzn. např. nákup </w:t>
      </w:r>
      <w:proofErr w:type="spellStart"/>
      <w:r w:rsidRPr="00B25A22">
        <w:rPr>
          <w:bCs/>
          <w:color w:val="000000"/>
        </w:rPr>
        <w:t>mulčovačů</w:t>
      </w:r>
      <w:proofErr w:type="spellEnd"/>
      <w:r w:rsidRPr="00B25A22">
        <w:rPr>
          <w:bCs/>
          <w:color w:val="000000"/>
        </w:rPr>
        <w:t>, drtičů větví apod.). Akce prosazující úspory energie zahrnuté do Podopatření 6.6 využily celkem 3 OP (tj. 30 %), které investovaly do výměny starých chladicích systémů za nové. To se projevilo nejen úsporou energie, ale zároveň se promítlo i ve zlepšení kvality skladovaných produktů.</w:t>
      </w:r>
    </w:p>
    <w:p w14:paraId="676653CF" w14:textId="77777777" w:rsidR="00AA3A5F" w:rsidRPr="00B25A22" w:rsidRDefault="00AA3A5F" w:rsidP="003F3510">
      <w:pPr>
        <w:pStyle w:val="UZEINormaln"/>
        <w:rPr>
          <w:bCs/>
          <w:color w:val="000000"/>
        </w:rPr>
      </w:pPr>
      <w:r w:rsidRPr="00B25A22">
        <w:rPr>
          <w:bCs/>
          <w:color w:val="000000"/>
        </w:rPr>
        <w:t xml:space="preserve">Podopatření 6.3 zaměřené na zvýšení biodiverzity využily podle dotazníkového šetření 3 OP. V rámci tohoto opatření byly nakupovány pro členy </w:t>
      </w:r>
      <w:proofErr w:type="gramStart"/>
      <w:r w:rsidRPr="00B25A22">
        <w:rPr>
          <w:bCs/>
          <w:color w:val="000000"/>
        </w:rPr>
        <w:t>OP - producenty</w:t>
      </w:r>
      <w:proofErr w:type="gramEnd"/>
      <w:r w:rsidRPr="00B25A22">
        <w:rPr>
          <w:bCs/>
          <w:color w:val="000000"/>
        </w:rPr>
        <w:t xml:space="preserve"> ovoce - živočichové opylující rostliny (vyjma včel). Jednalo se zejména o umísťování čmeláků do sadů. Podopatření 6.5 zaměřené na Poradenství - školení bylo využito v rámci Environmentálních opatření pouze jednou OP, neboť tyto aktivity je možné pořádat v rámci Opatření č. 4 – Vzdělávání - školení, které si klade za hlavní cíl zvýšení odborné úrovně producentů. </w:t>
      </w:r>
    </w:p>
    <w:p w14:paraId="5BAA1FF6" w14:textId="77777777" w:rsidR="00AA3A5F" w:rsidRPr="00B25A22" w:rsidRDefault="00AA3A5F" w:rsidP="003F3510">
      <w:pPr>
        <w:pStyle w:val="UZEINormaln"/>
        <w:rPr>
          <w:bCs/>
          <w:color w:val="000000"/>
        </w:rPr>
      </w:pPr>
      <w:r w:rsidRPr="00B25A22">
        <w:rPr>
          <w:bCs/>
          <w:color w:val="000000"/>
        </w:rPr>
        <w:t xml:space="preserve">Environmentální opatření si klade za cíl zlepšení ochrany životního prostředí. Podíl na celkových výdajích Operačních programů dosahoval u Opatření č. 6 výše 8,4 %. Klesající přirozená úrodnost půdy, eroze půdy a její nedostatečná retenční schopnost jsou významná rizika ovlivňující nejen produkci polních plodin, ale rovněž produkci ovoce. Tato rizika lze omezit zavedením trvale udržitelných systémů hospodaření šetrných ke všem složkám životního prostředí. V hospodaření je žádoucí integrovat princip udržení a zvýšení biodiverzity, který je možno naplnit omezením chemické zátěže životního prostředí a </w:t>
      </w:r>
      <w:r w:rsidRPr="00B25A22">
        <w:rPr>
          <w:bCs/>
          <w:color w:val="000000"/>
        </w:rPr>
        <w:lastRenderedPageBreak/>
        <w:t>využíváním přirozených způsobů ochrany proti chorobám a škůdcům. Všechna Podopatření byla využita vyjma ekologického zemědělství. Tento systém nebyl u žádného prvovýrobce - člena OP zaveden. Z ekonomického pohledu jsou sice v ekologickém hospodaření nižší náklady ve srovnání s konvenčním, ale zároveň jsou také nižší výnosy. Ve výsledku to znamená vyšší jednotkové náklady ve srovnání s konvenčním zemědělstvím. Celkově je však ekologický systém kompenzován vyššími realizačními cenami.</w:t>
      </w:r>
    </w:p>
    <w:p w14:paraId="2899128F" w14:textId="77777777" w:rsidR="00AA3A5F" w:rsidRPr="00B25A22" w:rsidRDefault="00AA3A5F" w:rsidP="003F3510">
      <w:pPr>
        <w:pStyle w:val="UZEINormaln"/>
        <w:rPr>
          <w:bCs/>
          <w:color w:val="000000"/>
        </w:rPr>
      </w:pPr>
      <w:r w:rsidRPr="00B25A22">
        <w:rPr>
          <w:bCs/>
          <w:color w:val="000000"/>
        </w:rPr>
        <w:t xml:space="preserve">Dané Opatření podle respondentů OP přispělo zejména k úspoře prostředků chemické ochrany. U členů OP je evidována poměrně velká pěstební plocha (téměř 5 tis. ha v roce 2011) integrované produkce, což lze hodnotit jako přínosné ve vztahu ke snížení zátěže životního prostředí. </w:t>
      </w:r>
    </w:p>
    <w:p w14:paraId="1369CAE6" w14:textId="77777777" w:rsidR="00AA3A5F" w:rsidRPr="003F3510" w:rsidRDefault="00AA3A5F" w:rsidP="003F3510">
      <w:pPr>
        <w:pStyle w:val="UZEINormaln"/>
        <w:rPr>
          <w:b/>
          <w:color w:val="000000"/>
        </w:rPr>
      </w:pPr>
      <w:r w:rsidRPr="003F3510">
        <w:rPr>
          <w:b/>
          <w:color w:val="000000"/>
        </w:rPr>
        <w:t>Opatření č. 7 – Jiné akce a kroky</w:t>
      </w:r>
    </w:p>
    <w:p w14:paraId="5C998FF4" w14:textId="77777777" w:rsidR="00AA3A5F" w:rsidRPr="00B25A22" w:rsidRDefault="00AA3A5F" w:rsidP="003F3510">
      <w:pPr>
        <w:pStyle w:val="UZEINormaln"/>
        <w:rPr>
          <w:bCs/>
          <w:color w:val="000000"/>
        </w:rPr>
      </w:pPr>
      <w:r w:rsidRPr="00B25A22">
        <w:rPr>
          <w:bCs/>
          <w:color w:val="000000"/>
        </w:rPr>
        <w:t>V České republice nebylo toto Opatření využito, byly pouze čerpány administrativní náklady dle platné legislativy v maximální výši 2 % z uznatelných nákladů Operačního programu. Celková výše administrativních nákladů za hodnocené období 2009 - 2011 dosahovala 140 tis. EUR. Uznatelné náklady uvedlo ve svých Výročních zprávách celkem 6 organizací producentů.</w:t>
      </w:r>
    </w:p>
    <w:p w14:paraId="0A34588A" w14:textId="77777777" w:rsidR="00AA3A5F" w:rsidRPr="003F3510" w:rsidRDefault="00AA3A5F" w:rsidP="003F3510">
      <w:pPr>
        <w:pStyle w:val="UZEINormaln"/>
        <w:rPr>
          <w:b/>
          <w:bCs/>
          <w:u w:val="single"/>
        </w:rPr>
      </w:pPr>
      <w:r w:rsidRPr="003F3510">
        <w:rPr>
          <w:b/>
          <w:bCs/>
          <w:u w:val="single"/>
        </w:rPr>
        <w:t>Hodnocení VS pro udržitelné Operační programy organizací producentů sektoru ovoce a zeleniny za období 2012 a 2013 (2014)</w:t>
      </w:r>
    </w:p>
    <w:p w14:paraId="153551E5" w14:textId="77777777" w:rsidR="00AA3A5F" w:rsidRPr="00B25A22" w:rsidRDefault="00AA3A5F" w:rsidP="003F3510">
      <w:pPr>
        <w:pStyle w:val="UZEINormaln"/>
      </w:pPr>
      <w:r w:rsidRPr="00B25A22">
        <w:t>Na základě údajů SZIF patří k nejvíce využívaným opatřením Opatření č.  2 a 3 a také samy OP je považovaly za přínosné.</w:t>
      </w:r>
    </w:p>
    <w:p w14:paraId="399374AA" w14:textId="77777777" w:rsidR="00AA3A5F" w:rsidRPr="003F3510" w:rsidRDefault="00AA3A5F" w:rsidP="00AA3A5F">
      <w:pPr>
        <w:rPr>
          <w:rFonts w:cs="Times New Roman"/>
          <w:b/>
          <w:sz w:val="20"/>
          <w:szCs w:val="20"/>
          <w:lang w:val="cs-CZ"/>
        </w:rPr>
      </w:pPr>
      <w:r w:rsidRPr="003F3510">
        <w:rPr>
          <w:rFonts w:cs="Times New Roman"/>
          <w:b/>
          <w:bCs/>
          <w:color w:val="000000"/>
          <w:sz w:val="20"/>
          <w:szCs w:val="20"/>
          <w:lang w:val="cs-CZ"/>
        </w:rPr>
        <w:t xml:space="preserve">Tab. P1.4: </w:t>
      </w:r>
      <w:r w:rsidRPr="003F3510">
        <w:rPr>
          <w:rFonts w:cs="Times New Roman"/>
          <w:b/>
          <w:sz w:val="20"/>
          <w:szCs w:val="20"/>
          <w:lang w:val="cs-CZ"/>
        </w:rPr>
        <w:t xml:space="preserve"> Uplatňované výdaje za všechny organizace producentů OZEL v jednotlivých letech</w:t>
      </w:r>
    </w:p>
    <w:tbl>
      <w:tblPr>
        <w:tblW w:w="498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2"/>
        <w:gridCol w:w="1758"/>
        <w:gridCol w:w="1514"/>
        <w:gridCol w:w="1514"/>
        <w:gridCol w:w="1514"/>
        <w:gridCol w:w="1514"/>
      </w:tblGrid>
      <w:tr w:rsidR="00AA3A5F" w:rsidRPr="003F3510" w14:paraId="060F4A70" w14:textId="77777777" w:rsidTr="007A68D5">
        <w:trPr>
          <w:trHeight w:val="323"/>
        </w:trPr>
        <w:tc>
          <w:tcPr>
            <w:tcW w:w="643" w:type="pct"/>
            <w:shd w:val="clear" w:color="auto" w:fill="auto"/>
            <w:noWrap/>
            <w:vAlign w:val="bottom"/>
            <w:hideMark/>
          </w:tcPr>
          <w:p w14:paraId="68EF799E" w14:textId="77777777" w:rsidR="00AA3A5F" w:rsidRPr="003F3510" w:rsidRDefault="00AA3A5F" w:rsidP="007A68D5">
            <w:pPr>
              <w:rPr>
                <w:rFonts w:cs="Times New Roman"/>
                <w:color w:val="000000"/>
                <w:sz w:val="20"/>
                <w:szCs w:val="20"/>
                <w:lang w:val="cs-CZ"/>
              </w:rPr>
            </w:pPr>
            <w:r w:rsidRPr="003F3510">
              <w:rPr>
                <w:rFonts w:cs="Times New Roman"/>
                <w:color w:val="000000"/>
                <w:sz w:val="20"/>
                <w:szCs w:val="20"/>
                <w:lang w:val="cs-CZ"/>
              </w:rPr>
              <w:t> </w:t>
            </w:r>
          </w:p>
        </w:tc>
        <w:tc>
          <w:tcPr>
            <w:tcW w:w="957" w:type="pct"/>
            <w:shd w:val="clear" w:color="auto" w:fill="auto"/>
            <w:noWrap/>
            <w:vAlign w:val="bottom"/>
            <w:hideMark/>
          </w:tcPr>
          <w:p w14:paraId="461996C3" w14:textId="77777777" w:rsidR="00AA3A5F" w:rsidRPr="003F3510" w:rsidRDefault="00AA3A5F" w:rsidP="007A68D5">
            <w:pPr>
              <w:jc w:val="center"/>
              <w:rPr>
                <w:rFonts w:cs="Times New Roman"/>
                <w:b/>
                <w:bCs/>
                <w:color w:val="000000"/>
                <w:sz w:val="20"/>
                <w:szCs w:val="20"/>
                <w:lang w:val="cs-CZ"/>
              </w:rPr>
            </w:pPr>
            <w:r w:rsidRPr="003F3510">
              <w:rPr>
                <w:rFonts w:cs="Times New Roman"/>
                <w:b/>
                <w:bCs/>
                <w:color w:val="000000"/>
                <w:sz w:val="20"/>
                <w:szCs w:val="20"/>
                <w:lang w:val="cs-CZ"/>
              </w:rPr>
              <w:t>2013</w:t>
            </w:r>
          </w:p>
        </w:tc>
        <w:tc>
          <w:tcPr>
            <w:tcW w:w="850" w:type="pct"/>
            <w:shd w:val="clear" w:color="auto" w:fill="auto"/>
            <w:noWrap/>
            <w:vAlign w:val="bottom"/>
            <w:hideMark/>
          </w:tcPr>
          <w:p w14:paraId="5EB9940D" w14:textId="77777777" w:rsidR="00AA3A5F" w:rsidRPr="003F3510" w:rsidRDefault="00AA3A5F" w:rsidP="007A68D5">
            <w:pPr>
              <w:jc w:val="center"/>
              <w:rPr>
                <w:rFonts w:cs="Times New Roman"/>
                <w:b/>
                <w:bCs/>
                <w:color w:val="000000"/>
                <w:sz w:val="20"/>
                <w:szCs w:val="20"/>
                <w:lang w:val="cs-CZ"/>
              </w:rPr>
            </w:pPr>
            <w:r w:rsidRPr="003F3510">
              <w:rPr>
                <w:rFonts w:cs="Times New Roman"/>
                <w:b/>
                <w:bCs/>
                <w:color w:val="000000"/>
                <w:sz w:val="20"/>
                <w:szCs w:val="20"/>
                <w:lang w:val="cs-CZ"/>
              </w:rPr>
              <w:t>2014</w:t>
            </w:r>
          </w:p>
        </w:tc>
        <w:tc>
          <w:tcPr>
            <w:tcW w:w="850" w:type="pct"/>
            <w:shd w:val="clear" w:color="auto" w:fill="auto"/>
            <w:noWrap/>
            <w:vAlign w:val="bottom"/>
            <w:hideMark/>
          </w:tcPr>
          <w:p w14:paraId="10718F11" w14:textId="77777777" w:rsidR="00AA3A5F" w:rsidRPr="003F3510" w:rsidRDefault="00AA3A5F" w:rsidP="007A68D5">
            <w:pPr>
              <w:jc w:val="center"/>
              <w:rPr>
                <w:rFonts w:cs="Times New Roman"/>
                <w:b/>
                <w:bCs/>
                <w:color w:val="000000"/>
                <w:sz w:val="20"/>
                <w:szCs w:val="20"/>
                <w:lang w:val="cs-CZ"/>
              </w:rPr>
            </w:pPr>
            <w:r w:rsidRPr="003F3510">
              <w:rPr>
                <w:rFonts w:cs="Times New Roman"/>
                <w:b/>
                <w:bCs/>
                <w:color w:val="000000"/>
                <w:sz w:val="20"/>
                <w:szCs w:val="20"/>
                <w:lang w:val="cs-CZ"/>
              </w:rPr>
              <w:t>2015</w:t>
            </w:r>
          </w:p>
        </w:tc>
        <w:tc>
          <w:tcPr>
            <w:tcW w:w="850" w:type="pct"/>
            <w:shd w:val="clear" w:color="auto" w:fill="auto"/>
            <w:noWrap/>
            <w:vAlign w:val="bottom"/>
            <w:hideMark/>
          </w:tcPr>
          <w:p w14:paraId="6F8A3891" w14:textId="77777777" w:rsidR="00AA3A5F" w:rsidRPr="003F3510" w:rsidRDefault="00AA3A5F" w:rsidP="007A68D5">
            <w:pPr>
              <w:jc w:val="center"/>
              <w:rPr>
                <w:rFonts w:cs="Times New Roman"/>
                <w:b/>
                <w:bCs/>
                <w:color w:val="000000"/>
                <w:sz w:val="20"/>
                <w:szCs w:val="20"/>
                <w:lang w:val="cs-CZ"/>
              </w:rPr>
            </w:pPr>
            <w:r w:rsidRPr="003F3510">
              <w:rPr>
                <w:rFonts w:cs="Times New Roman"/>
                <w:b/>
                <w:bCs/>
                <w:color w:val="000000"/>
                <w:sz w:val="20"/>
                <w:szCs w:val="20"/>
                <w:lang w:val="cs-CZ"/>
              </w:rPr>
              <w:t>2016</w:t>
            </w:r>
          </w:p>
        </w:tc>
        <w:tc>
          <w:tcPr>
            <w:tcW w:w="850" w:type="pct"/>
            <w:shd w:val="clear" w:color="auto" w:fill="auto"/>
            <w:noWrap/>
            <w:vAlign w:val="bottom"/>
            <w:hideMark/>
          </w:tcPr>
          <w:p w14:paraId="24A91820" w14:textId="77777777" w:rsidR="00AA3A5F" w:rsidRPr="003F3510" w:rsidRDefault="00AA3A5F" w:rsidP="007A68D5">
            <w:pPr>
              <w:jc w:val="center"/>
              <w:rPr>
                <w:rFonts w:cs="Times New Roman"/>
                <w:b/>
                <w:bCs/>
                <w:color w:val="000000"/>
                <w:sz w:val="20"/>
                <w:szCs w:val="20"/>
                <w:lang w:val="cs-CZ"/>
              </w:rPr>
            </w:pPr>
            <w:r w:rsidRPr="003F3510">
              <w:rPr>
                <w:rFonts w:cs="Times New Roman"/>
                <w:b/>
                <w:bCs/>
                <w:color w:val="000000"/>
                <w:sz w:val="20"/>
                <w:szCs w:val="20"/>
                <w:lang w:val="cs-CZ"/>
              </w:rPr>
              <w:t>2017</w:t>
            </w:r>
          </w:p>
        </w:tc>
      </w:tr>
      <w:tr w:rsidR="00AA3A5F" w:rsidRPr="003F3510" w14:paraId="67FCFEB2" w14:textId="77777777" w:rsidTr="007A68D5">
        <w:trPr>
          <w:trHeight w:val="323"/>
        </w:trPr>
        <w:tc>
          <w:tcPr>
            <w:tcW w:w="643" w:type="pct"/>
            <w:shd w:val="clear" w:color="auto" w:fill="auto"/>
            <w:noWrap/>
            <w:vAlign w:val="bottom"/>
            <w:hideMark/>
          </w:tcPr>
          <w:p w14:paraId="13A750C1" w14:textId="77777777" w:rsidR="00AA3A5F" w:rsidRPr="003F3510" w:rsidRDefault="00AA3A5F" w:rsidP="007A68D5">
            <w:pPr>
              <w:rPr>
                <w:rFonts w:cs="Times New Roman"/>
                <w:b/>
                <w:bCs/>
                <w:color w:val="000000"/>
                <w:sz w:val="20"/>
                <w:szCs w:val="20"/>
                <w:lang w:val="cs-CZ"/>
              </w:rPr>
            </w:pPr>
            <w:r w:rsidRPr="003F3510">
              <w:rPr>
                <w:rFonts w:cs="Times New Roman"/>
                <w:b/>
                <w:bCs/>
                <w:color w:val="000000"/>
                <w:sz w:val="20"/>
                <w:szCs w:val="20"/>
                <w:lang w:val="cs-CZ"/>
              </w:rPr>
              <w:t>Opatření č.1</w:t>
            </w:r>
          </w:p>
        </w:tc>
        <w:tc>
          <w:tcPr>
            <w:tcW w:w="957" w:type="pct"/>
            <w:shd w:val="clear" w:color="auto" w:fill="auto"/>
            <w:noWrap/>
            <w:vAlign w:val="bottom"/>
            <w:hideMark/>
          </w:tcPr>
          <w:p w14:paraId="14D1BA15"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3 417,91 Kč </w:t>
            </w:r>
          </w:p>
        </w:tc>
        <w:tc>
          <w:tcPr>
            <w:tcW w:w="850" w:type="pct"/>
            <w:shd w:val="clear" w:color="auto" w:fill="auto"/>
            <w:noWrap/>
            <w:vAlign w:val="bottom"/>
            <w:hideMark/>
          </w:tcPr>
          <w:p w14:paraId="4CDC736C"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2 209,05 Kč </w:t>
            </w:r>
          </w:p>
        </w:tc>
        <w:tc>
          <w:tcPr>
            <w:tcW w:w="850" w:type="pct"/>
            <w:shd w:val="clear" w:color="auto" w:fill="auto"/>
            <w:noWrap/>
            <w:vAlign w:val="bottom"/>
            <w:hideMark/>
          </w:tcPr>
          <w:p w14:paraId="4044CE20"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2 880,38 Kč </w:t>
            </w:r>
          </w:p>
        </w:tc>
        <w:tc>
          <w:tcPr>
            <w:tcW w:w="850" w:type="pct"/>
            <w:shd w:val="clear" w:color="auto" w:fill="auto"/>
            <w:noWrap/>
            <w:vAlign w:val="bottom"/>
            <w:hideMark/>
          </w:tcPr>
          <w:p w14:paraId="2AA47DF0"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2 827,48 Kč </w:t>
            </w:r>
          </w:p>
        </w:tc>
        <w:tc>
          <w:tcPr>
            <w:tcW w:w="850" w:type="pct"/>
            <w:shd w:val="clear" w:color="auto" w:fill="auto"/>
            <w:noWrap/>
            <w:vAlign w:val="bottom"/>
            <w:hideMark/>
          </w:tcPr>
          <w:p w14:paraId="038031A3"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4 423,05 Kč </w:t>
            </w:r>
          </w:p>
        </w:tc>
      </w:tr>
      <w:tr w:rsidR="00AA3A5F" w:rsidRPr="003F3510" w14:paraId="2F6FA179" w14:textId="77777777" w:rsidTr="007A68D5">
        <w:trPr>
          <w:trHeight w:val="323"/>
        </w:trPr>
        <w:tc>
          <w:tcPr>
            <w:tcW w:w="643" w:type="pct"/>
            <w:shd w:val="clear" w:color="auto" w:fill="auto"/>
            <w:noWrap/>
            <w:vAlign w:val="bottom"/>
            <w:hideMark/>
          </w:tcPr>
          <w:p w14:paraId="6FC3F39D" w14:textId="77777777" w:rsidR="00AA3A5F" w:rsidRPr="003F3510" w:rsidRDefault="00AA3A5F" w:rsidP="007A68D5">
            <w:pPr>
              <w:rPr>
                <w:rFonts w:cs="Times New Roman"/>
                <w:b/>
                <w:bCs/>
                <w:color w:val="000000"/>
                <w:sz w:val="20"/>
                <w:szCs w:val="20"/>
                <w:lang w:val="cs-CZ"/>
              </w:rPr>
            </w:pPr>
            <w:r w:rsidRPr="003F3510">
              <w:rPr>
                <w:rFonts w:cs="Times New Roman"/>
                <w:b/>
                <w:bCs/>
                <w:color w:val="000000"/>
                <w:sz w:val="20"/>
                <w:szCs w:val="20"/>
                <w:lang w:val="cs-CZ"/>
              </w:rPr>
              <w:t>Opatření č.2</w:t>
            </w:r>
          </w:p>
        </w:tc>
        <w:tc>
          <w:tcPr>
            <w:tcW w:w="957" w:type="pct"/>
            <w:shd w:val="clear" w:color="auto" w:fill="auto"/>
            <w:noWrap/>
            <w:vAlign w:val="bottom"/>
            <w:hideMark/>
          </w:tcPr>
          <w:p w14:paraId="4B65BF07"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40 927,82 Kč </w:t>
            </w:r>
          </w:p>
        </w:tc>
        <w:tc>
          <w:tcPr>
            <w:tcW w:w="850" w:type="pct"/>
            <w:shd w:val="clear" w:color="auto" w:fill="auto"/>
            <w:noWrap/>
            <w:vAlign w:val="bottom"/>
            <w:hideMark/>
          </w:tcPr>
          <w:p w14:paraId="195E4616"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67 511,63 Kč </w:t>
            </w:r>
          </w:p>
        </w:tc>
        <w:tc>
          <w:tcPr>
            <w:tcW w:w="850" w:type="pct"/>
            <w:shd w:val="clear" w:color="auto" w:fill="auto"/>
            <w:noWrap/>
            <w:vAlign w:val="bottom"/>
            <w:hideMark/>
          </w:tcPr>
          <w:p w14:paraId="50B38BF7"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54 228,37 Kč </w:t>
            </w:r>
          </w:p>
        </w:tc>
        <w:tc>
          <w:tcPr>
            <w:tcW w:w="850" w:type="pct"/>
            <w:shd w:val="clear" w:color="auto" w:fill="auto"/>
            <w:noWrap/>
            <w:vAlign w:val="bottom"/>
            <w:hideMark/>
          </w:tcPr>
          <w:p w14:paraId="130D51A2"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60 328,65 Kč </w:t>
            </w:r>
          </w:p>
        </w:tc>
        <w:tc>
          <w:tcPr>
            <w:tcW w:w="850" w:type="pct"/>
            <w:shd w:val="clear" w:color="auto" w:fill="auto"/>
            <w:noWrap/>
            <w:vAlign w:val="bottom"/>
            <w:hideMark/>
          </w:tcPr>
          <w:p w14:paraId="01017199"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65 906,35 Kč </w:t>
            </w:r>
          </w:p>
        </w:tc>
      </w:tr>
      <w:tr w:rsidR="00AA3A5F" w:rsidRPr="003F3510" w14:paraId="4DA82461" w14:textId="77777777" w:rsidTr="007A68D5">
        <w:trPr>
          <w:trHeight w:val="323"/>
        </w:trPr>
        <w:tc>
          <w:tcPr>
            <w:tcW w:w="643" w:type="pct"/>
            <w:shd w:val="clear" w:color="auto" w:fill="auto"/>
            <w:noWrap/>
            <w:vAlign w:val="bottom"/>
            <w:hideMark/>
          </w:tcPr>
          <w:p w14:paraId="68925CD9" w14:textId="77777777" w:rsidR="00AA3A5F" w:rsidRPr="003F3510" w:rsidRDefault="00AA3A5F" w:rsidP="007A68D5">
            <w:pPr>
              <w:rPr>
                <w:rFonts w:cs="Times New Roman"/>
                <w:b/>
                <w:bCs/>
                <w:color w:val="000000"/>
                <w:sz w:val="20"/>
                <w:szCs w:val="20"/>
                <w:lang w:val="cs-CZ"/>
              </w:rPr>
            </w:pPr>
            <w:r w:rsidRPr="003F3510">
              <w:rPr>
                <w:rFonts w:cs="Times New Roman"/>
                <w:b/>
                <w:bCs/>
                <w:color w:val="000000"/>
                <w:sz w:val="20"/>
                <w:szCs w:val="20"/>
                <w:lang w:val="cs-CZ"/>
              </w:rPr>
              <w:t>Opatření č.3</w:t>
            </w:r>
          </w:p>
        </w:tc>
        <w:tc>
          <w:tcPr>
            <w:tcW w:w="957" w:type="pct"/>
            <w:shd w:val="clear" w:color="auto" w:fill="auto"/>
            <w:noWrap/>
            <w:vAlign w:val="bottom"/>
            <w:hideMark/>
          </w:tcPr>
          <w:p w14:paraId="5200D785"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27 758,47 Kč </w:t>
            </w:r>
          </w:p>
        </w:tc>
        <w:tc>
          <w:tcPr>
            <w:tcW w:w="850" w:type="pct"/>
            <w:shd w:val="clear" w:color="auto" w:fill="auto"/>
            <w:noWrap/>
            <w:vAlign w:val="bottom"/>
            <w:hideMark/>
          </w:tcPr>
          <w:p w14:paraId="0558F405"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37 415,39 Kč </w:t>
            </w:r>
          </w:p>
        </w:tc>
        <w:tc>
          <w:tcPr>
            <w:tcW w:w="850" w:type="pct"/>
            <w:shd w:val="clear" w:color="auto" w:fill="auto"/>
            <w:noWrap/>
            <w:vAlign w:val="bottom"/>
            <w:hideMark/>
          </w:tcPr>
          <w:p w14:paraId="40960A1B"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47 116,39 Kč </w:t>
            </w:r>
          </w:p>
        </w:tc>
        <w:tc>
          <w:tcPr>
            <w:tcW w:w="850" w:type="pct"/>
            <w:shd w:val="clear" w:color="auto" w:fill="auto"/>
            <w:noWrap/>
            <w:vAlign w:val="bottom"/>
            <w:hideMark/>
          </w:tcPr>
          <w:p w14:paraId="570E80AE"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48 594,25 Kč </w:t>
            </w:r>
          </w:p>
        </w:tc>
        <w:tc>
          <w:tcPr>
            <w:tcW w:w="850" w:type="pct"/>
            <w:shd w:val="clear" w:color="auto" w:fill="auto"/>
            <w:noWrap/>
            <w:vAlign w:val="bottom"/>
            <w:hideMark/>
          </w:tcPr>
          <w:p w14:paraId="626B6901"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74 759,55 Kč </w:t>
            </w:r>
          </w:p>
        </w:tc>
      </w:tr>
      <w:tr w:rsidR="00AA3A5F" w:rsidRPr="003F3510" w14:paraId="53D628B8" w14:textId="77777777" w:rsidTr="007A68D5">
        <w:trPr>
          <w:trHeight w:val="323"/>
        </w:trPr>
        <w:tc>
          <w:tcPr>
            <w:tcW w:w="643" w:type="pct"/>
            <w:shd w:val="clear" w:color="auto" w:fill="auto"/>
            <w:noWrap/>
            <w:vAlign w:val="bottom"/>
            <w:hideMark/>
          </w:tcPr>
          <w:p w14:paraId="46886EFC" w14:textId="77777777" w:rsidR="00AA3A5F" w:rsidRPr="003F3510" w:rsidRDefault="00AA3A5F" w:rsidP="007A68D5">
            <w:pPr>
              <w:rPr>
                <w:rFonts w:cs="Times New Roman"/>
                <w:b/>
                <w:bCs/>
                <w:color w:val="000000"/>
                <w:sz w:val="20"/>
                <w:szCs w:val="20"/>
                <w:lang w:val="cs-CZ"/>
              </w:rPr>
            </w:pPr>
            <w:r w:rsidRPr="003F3510">
              <w:rPr>
                <w:rFonts w:cs="Times New Roman"/>
                <w:b/>
                <w:bCs/>
                <w:color w:val="000000"/>
                <w:sz w:val="20"/>
                <w:szCs w:val="20"/>
                <w:lang w:val="cs-CZ"/>
              </w:rPr>
              <w:t>Opatření č.4</w:t>
            </w:r>
          </w:p>
        </w:tc>
        <w:tc>
          <w:tcPr>
            <w:tcW w:w="957" w:type="pct"/>
            <w:shd w:val="clear" w:color="auto" w:fill="auto"/>
            <w:noWrap/>
            <w:vAlign w:val="bottom"/>
            <w:hideMark/>
          </w:tcPr>
          <w:p w14:paraId="7B1699E7"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2 542,13 Kč </w:t>
            </w:r>
          </w:p>
        </w:tc>
        <w:tc>
          <w:tcPr>
            <w:tcW w:w="850" w:type="pct"/>
            <w:shd w:val="clear" w:color="auto" w:fill="auto"/>
            <w:noWrap/>
            <w:vAlign w:val="bottom"/>
            <w:hideMark/>
          </w:tcPr>
          <w:p w14:paraId="2D1B2363"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2 270,76 Kč </w:t>
            </w:r>
          </w:p>
        </w:tc>
        <w:tc>
          <w:tcPr>
            <w:tcW w:w="850" w:type="pct"/>
            <w:shd w:val="clear" w:color="auto" w:fill="auto"/>
            <w:noWrap/>
            <w:vAlign w:val="bottom"/>
            <w:hideMark/>
          </w:tcPr>
          <w:p w14:paraId="0529592C"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2 677,41 Kč </w:t>
            </w:r>
          </w:p>
        </w:tc>
        <w:tc>
          <w:tcPr>
            <w:tcW w:w="850" w:type="pct"/>
            <w:shd w:val="clear" w:color="auto" w:fill="auto"/>
            <w:noWrap/>
            <w:vAlign w:val="bottom"/>
            <w:hideMark/>
          </w:tcPr>
          <w:p w14:paraId="1E4E960C"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1 116,86 Kč </w:t>
            </w:r>
          </w:p>
        </w:tc>
        <w:tc>
          <w:tcPr>
            <w:tcW w:w="850" w:type="pct"/>
            <w:shd w:val="clear" w:color="auto" w:fill="auto"/>
            <w:noWrap/>
            <w:vAlign w:val="bottom"/>
            <w:hideMark/>
          </w:tcPr>
          <w:p w14:paraId="47DF1284"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926,92 Kč </w:t>
            </w:r>
          </w:p>
        </w:tc>
      </w:tr>
      <w:tr w:rsidR="00AA3A5F" w:rsidRPr="003F3510" w14:paraId="3502B836" w14:textId="77777777" w:rsidTr="007A68D5">
        <w:trPr>
          <w:trHeight w:val="323"/>
        </w:trPr>
        <w:tc>
          <w:tcPr>
            <w:tcW w:w="643" w:type="pct"/>
            <w:shd w:val="clear" w:color="auto" w:fill="auto"/>
            <w:noWrap/>
            <w:vAlign w:val="bottom"/>
            <w:hideMark/>
          </w:tcPr>
          <w:p w14:paraId="59E501B8" w14:textId="77777777" w:rsidR="00AA3A5F" w:rsidRPr="003F3510" w:rsidRDefault="00AA3A5F" w:rsidP="007A68D5">
            <w:pPr>
              <w:rPr>
                <w:rFonts w:cs="Times New Roman"/>
                <w:b/>
                <w:bCs/>
                <w:color w:val="000000"/>
                <w:sz w:val="20"/>
                <w:szCs w:val="20"/>
                <w:lang w:val="cs-CZ"/>
              </w:rPr>
            </w:pPr>
            <w:r w:rsidRPr="003F3510">
              <w:rPr>
                <w:rFonts w:cs="Times New Roman"/>
                <w:b/>
                <w:bCs/>
                <w:color w:val="000000"/>
                <w:sz w:val="20"/>
                <w:szCs w:val="20"/>
                <w:lang w:val="cs-CZ"/>
              </w:rPr>
              <w:t>Opatření č.5</w:t>
            </w:r>
          </w:p>
        </w:tc>
        <w:tc>
          <w:tcPr>
            <w:tcW w:w="957" w:type="pct"/>
            <w:shd w:val="clear" w:color="auto" w:fill="auto"/>
            <w:noWrap/>
            <w:vAlign w:val="bottom"/>
            <w:hideMark/>
          </w:tcPr>
          <w:p w14:paraId="417FD8BE"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9 934,54 Kč </w:t>
            </w:r>
          </w:p>
        </w:tc>
        <w:tc>
          <w:tcPr>
            <w:tcW w:w="850" w:type="pct"/>
            <w:shd w:val="clear" w:color="auto" w:fill="auto"/>
            <w:noWrap/>
            <w:vAlign w:val="bottom"/>
            <w:hideMark/>
          </w:tcPr>
          <w:p w14:paraId="60AAD640"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11 643,32 Kč </w:t>
            </w:r>
          </w:p>
        </w:tc>
        <w:tc>
          <w:tcPr>
            <w:tcW w:w="850" w:type="pct"/>
            <w:shd w:val="clear" w:color="auto" w:fill="auto"/>
            <w:noWrap/>
            <w:vAlign w:val="bottom"/>
            <w:hideMark/>
          </w:tcPr>
          <w:p w14:paraId="14EA3E4D"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14 263,37 Kč </w:t>
            </w:r>
          </w:p>
        </w:tc>
        <w:tc>
          <w:tcPr>
            <w:tcW w:w="850" w:type="pct"/>
            <w:shd w:val="clear" w:color="auto" w:fill="auto"/>
            <w:noWrap/>
            <w:vAlign w:val="bottom"/>
            <w:hideMark/>
          </w:tcPr>
          <w:p w14:paraId="7964DCC5"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14 335,59 Kč </w:t>
            </w:r>
          </w:p>
        </w:tc>
        <w:tc>
          <w:tcPr>
            <w:tcW w:w="850" w:type="pct"/>
            <w:shd w:val="clear" w:color="auto" w:fill="auto"/>
            <w:noWrap/>
            <w:vAlign w:val="bottom"/>
            <w:hideMark/>
          </w:tcPr>
          <w:p w14:paraId="2D7678BD"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20 900,81 Kč </w:t>
            </w:r>
          </w:p>
        </w:tc>
      </w:tr>
      <w:tr w:rsidR="00AA3A5F" w:rsidRPr="003F3510" w14:paraId="37C30485" w14:textId="77777777" w:rsidTr="007A68D5">
        <w:trPr>
          <w:trHeight w:val="323"/>
        </w:trPr>
        <w:tc>
          <w:tcPr>
            <w:tcW w:w="643" w:type="pct"/>
            <w:shd w:val="clear" w:color="auto" w:fill="auto"/>
            <w:noWrap/>
            <w:vAlign w:val="bottom"/>
            <w:hideMark/>
          </w:tcPr>
          <w:p w14:paraId="4461C962" w14:textId="77777777" w:rsidR="00AA3A5F" w:rsidRPr="003F3510" w:rsidRDefault="00AA3A5F" w:rsidP="007A68D5">
            <w:pPr>
              <w:rPr>
                <w:rFonts w:cs="Times New Roman"/>
                <w:b/>
                <w:bCs/>
                <w:color w:val="000000"/>
                <w:sz w:val="20"/>
                <w:szCs w:val="20"/>
                <w:lang w:val="cs-CZ"/>
              </w:rPr>
            </w:pPr>
            <w:r w:rsidRPr="003F3510">
              <w:rPr>
                <w:rFonts w:cs="Times New Roman"/>
                <w:b/>
                <w:bCs/>
                <w:color w:val="000000"/>
                <w:sz w:val="20"/>
                <w:szCs w:val="20"/>
                <w:lang w:val="cs-CZ"/>
              </w:rPr>
              <w:t>Opatření č.6</w:t>
            </w:r>
          </w:p>
        </w:tc>
        <w:tc>
          <w:tcPr>
            <w:tcW w:w="957" w:type="pct"/>
            <w:shd w:val="clear" w:color="auto" w:fill="auto"/>
            <w:noWrap/>
            <w:vAlign w:val="bottom"/>
            <w:hideMark/>
          </w:tcPr>
          <w:p w14:paraId="76777F4D"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9 955,06 Kč </w:t>
            </w:r>
          </w:p>
        </w:tc>
        <w:tc>
          <w:tcPr>
            <w:tcW w:w="850" w:type="pct"/>
            <w:shd w:val="clear" w:color="auto" w:fill="auto"/>
            <w:noWrap/>
            <w:vAlign w:val="bottom"/>
            <w:hideMark/>
          </w:tcPr>
          <w:p w14:paraId="615BB0D8"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15 290,56 Kč </w:t>
            </w:r>
          </w:p>
        </w:tc>
        <w:tc>
          <w:tcPr>
            <w:tcW w:w="850" w:type="pct"/>
            <w:shd w:val="clear" w:color="auto" w:fill="auto"/>
            <w:noWrap/>
            <w:vAlign w:val="bottom"/>
            <w:hideMark/>
          </w:tcPr>
          <w:p w14:paraId="159C42AF"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19 839,01 Kč </w:t>
            </w:r>
          </w:p>
        </w:tc>
        <w:tc>
          <w:tcPr>
            <w:tcW w:w="850" w:type="pct"/>
            <w:shd w:val="clear" w:color="auto" w:fill="auto"/>
            <w:noWrap/>
            <w:vAlign w:val="bottom"/>
            <w:hideMark/>
          </w:tcPr>
          <w:p w14:paraId="26B702DA"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17 960,39 Kč </w:t>
            </w:r>
          </w:p>
        </w:tc>
        <w:tc>
          <w:tcPr>
            <w:tcW w:w="850" w:type="pct"/>
            <w:shd w:val="clear" w:color="auto" w:fill="auto"/>
            <w:noWrap/>
            <w:vAlign w:val="bottom"/>
            <w:hideMark/>
          </w:tcPr>
          <w:p w14:paraId="55F51F6A"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20 898,38 Kč </w:t>
            </w:r>
          </w:p>
        </w:tc>
      </w:tr>
      <w:tr w:rsidR="00AA3A5F" w:rsidRPr="003F3510" w14:paraId="42753267" w14:textId="77777777" w:rsidTr="007A68D5">
        <w:trPr>
          <w:trHeight w:val="323"/>
        </w:trPr>
        <w:tc>
          <w:tcPr>
            <w:tcW w:w="643" w:type="pct"/>
            <w:shd w:val="clear" w:color="auto" w:fill="auto"/>
            <w:noWrap/>
            <w:vAlign w:val="bottom"/>
            <w:hideMark/>
          </w:tcPr>
          <w:p w14:paraId="4F912214" w14:textId="77777777" w:rsidR="00AA3A5F" w:rsidRPr="003F3510" w:rsidRDefault="00AA3A5F" w:rsidP="007A68D5">
            <w:pPr>
              <w:rPr>
                <w:rFonts w:cs="Times New Roman"/>
                <w:b/>
                <w:bCs/>
                <w:color w:val="000000"/>
                <w:sz w:val="20"/>
                <w:szCs w:val="20"/>
                <w:lang w:val="cs-CZ"/>
              </w:rPr>
            </w:pPr>
            <w:r w:rsidRPr="003F3510">
              <w:rPr>
                <w:rFonts w:cs="Times New Roman"/>
                <w:b/>
                <w:bCs/>
                <w:color w:val="000000"/>
                <w:sz w:val="20"/>
                <w:szCs w:val="20"/>
                <w:lang w:val="cs-CZ"/>
              </w:rPr>
              <w:t>Opatření č.7</w:t>
            </w:r>
          </w:p>
        </w:tc>
        <w:tc>
          <w:tcPr>
            <w:tcW w:w="957" w:type="pct"/>
            <w:shd w:val="clear" w:color="auto" w:fill="auto"/>
            <w:noWrap/>
            <w:vAlign w:val="bottom"/>
            <w:hideMark/>
          </w:tcPr>
          <w:p w14:paraId="0DD54936"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1 228,34 Kč </w:t>
            </w:r>
          </w:p>
        </w:tc>
        <w:tc>
          <w:tcPr>
            <w:tcW w:w="850" w:type="pct"/>
            <w:shd w:val="clear" w:color="auto" w:fill="auto"/>
            <w:noWrap/>
            <w:vAlign w:val="bottom"/>
            <w:hideMark/>
          </w:tcPr>
          <w:p w14:paraId="4A665E54"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610,20 Kč </w:t>
            </w:r>
          </w:p>
        </w:tc>
        <w:tc>
          <w:tcPr>
            <w:tcW w:w="850" w:type="pct"/>
            <w:shd w:val="clear" w:color="auto" w:fill="auto"/>
            <w:noWrap/>
            <w:vAlign w:val="bottom"/>
            <w:hideMark/>
          </w:tcPr>
          <w:p w14:paraId="543DA1D1"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1 791,44 Kč </w:t>
            </w:r>
          </w:p>
        </w:tc>
        <w:tc>
          <w:tcPr>
            <w:tcW w:w="850" w:type="pct"/>
            <w:shd w:val="clear" w:color="auto" w:fill="auto"/>
            <w:noWrap/>
            <w:vAlign w:val="bottom"/>
            <w:hideMark/>
          </w:tcPr>
          <w:p w14:paraId="5B75BEF1"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1 745,38 Kč </w:t>
            </w:r>
          </w:p>
        </w:tc>
        <w:tc>
          <w:tcPr>
            <w:tcW w:w="850" w:type="pct"/>
            <w:shd w:val="clear" w:color="auto" w:fill="auto"/>
            <w:noWrap/>
            <w:vAlign w:val="bottom"/>
            <w:hideMark/>
          </w:tcPr>
          <w:p w14:paraId="4F2B1298"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2 621,11 Kč </w:t>
            </w:r>
          </w:p>
        </w:tc>
      </w:tr>
      <w:tr w:rsidR="00AA3A5F" w:rsidRPr="003F3510" w14:paraId="2056891A" w14:textId="77777777" w:rsidTr="007A68D5">
        <w:trPr>
          <w:trHeight w:val="323"/>
        </w:trPr>
        <w:tc>
          <w:tcPr>
            <w:tcW w:w="643" w:type="pct"/>
            <w:shd w:val="clear" w:color="auto" w:fill="auto"/>
            <w:noWrap/>
            <w:vAlign w:val="bottom"/>
            <w:hideMark/>
          </w:tcPr>
          <w:p w14:paraId="251B6373" w14:textId="77777777" w:rsidR="00AA3A5F" w:rsidRPr="003F3510" w:rsidRDefault="00AA3A5F" w:rsidP="007A68D5">
            <w:pPr>
              <w:rPr>
                <w:rFonts w:cs="Times New Roman"/>
                <w:b/>
                <w:bCs/>
                <w:color w:val="000000"/>
                <w:sz w:val="20"/>
                <w:szCs w:val="20"/>
                <w:lang w:val="cs-CZ"/>
              </w:rPr>
            </w:pPr>
            <w:r w:rsidRPr="003F3510">
              <w:rPr>
                <w:rFonts w:cs="Times New Roman"/>
                <w:b/>
                <w:bCs/>
                <w:color w:val="000000"/>
                <w:sz w:val="20"/>
                <w:szCs w:val="20"/>
                <w:lang w:val="cs-CZ"/>
              </w:rPr>
              <w:t>Celkem</w:t>
            </w:r>
          </w:p>
        </w:tc>
        <w:tc>
          <w:tcPr>
            <w:tcW w:w="957" w:type="pct"/>
            <w:shd w:val="clear" w:color="auto" w:fill="auto"/>
            <w:noWrap/>
            <w:vAlign w:val="bottom"/>
            <w:hideMark/>
          </w:tcPr>
          <w:p w14:paraId="26C2F7F0"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95 764,26 Kč </w:t>
            </w:r>
          </w:p>
        </w:tc>
        <w:tc>
          <w:tcPr>
            <w:tcW w:w="850" w:type="pct"/>
            <w:shd w:val="clear" w:color="auto" w:fill="auto"/>
            <w:noWrap/>
            <w:vAlign w:val="bottom"/>
            <w:hideMark/>
          </w:tcPr>
          <w:p w14:paraId="20AE7EC4"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136 950,91 Kč </w:t>
            </w:r>
          </w:p>
        </w:tc>
        <w:tc>
          <w:tcPr>
            <w:tcW w:w="850" w:type="pct"/>
            <w:shd w:val="clear" w:color="auto" w:fill="auto"/>
            <w:noWrap/>
            <w:vAlign w:val="bottom"/>
            <w:hideMark/>
          </w:tcPr>
          <w:p w14:paraId="6141F11B"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142 796,37 Kč </w:t>
            </w:r>
          </w:p>
        </w:tc>
        <w:tc>
          <w:tcPr>
            <w:tcW w:w="850" w:type="pct"/>
            <w:shd w:val="clear" w:color="auto" w:fill="auto"/>
            <w:noWrap/>
            <w:vAlign w:val="bottom"/>
            <w:hideMark/>
          </w:tcPr>
          <w:p w14:paraId="39CB72B9"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146 908,59 Kč </w:t>
            </w:r>
          </w:p>
        </w:tc>
        <w:tc>
          <w:tcPr>
            <w:tcW w:w="850" w:type="pct"/>
            <w:shd w:val="clear" w:color="auto" w:fill="auto"/>
            <w:noWrap/>
            <w:vAlign w:val="bottom"/>
            <w:hideMark/>
          </w:tcPr>
          <w:p w14:paraId="4CFCFBD9" w14:textId="77777777" w:rsidR="00AA3A5F" w:rsidRPr="003F3510" w:rsidRDefault="00AA3A5F" w:rsidP="007A68D5">
            <w:pPr>
              <w:ind w:hanging="527"/>
              <w:rPr>
                <w:rFonts w:cs="Times New Roman"/>
                <w:color w:val="000000"/>
                <w:sz w:val="20"/>
                <w:szCs w:val="20"/>
                <w:lang w:val="cs-CZ"/>
              </w:rPr>
            </w:pPr>
            <w:r w:rsidRPr="003F3510">
              <w:rPr>
                <w:rFonts w:cs="Times New Roman"/>
                <w:color w:val="000000"/>
                <w:sz w:val="20"/>
                <w:szCs w:val="20"/>
                <w:lang w:val="cs-CZ"/>
              </w:rPr>
              <w:t xml:space="preserve">           190 436,17 Kč </w:t>
            </w:r>
          </w:p>
        </w:tc>
      </w:tr>
    </w:tbl>
    <w:p w14:paraId="32D6790C" w14:textId="77777777" w:rsidR="00AA3A5F" w:rsidRPr="00B25A22" w:rsidRDefault="00AA3A5F" w:rsidP="003F3510">
      <w:pPr>
        <w:pStyle w:val="UZEIZdroj"/>
      </w:pPr>
      <w:r w:rsidRPr="00B25A22">
        <w:t>Pramen: SZIF</w:t>
      </w:r>
    </w:p>
    <w:p w14:paraId="68EE8997" w14:textId="77777777" w:rsidR="00AA3A5F" w:rsidRPr="00B25A22" w:rsidRDefault="00AA3A5F" w:rsidP="00AA3A5F">
      <w:pPr>
        <w:rPr>
          <w:rFonts w:cs="Times New Roman"/>
          <w:sz w:val="22"/>
          <w:lang w:val="cs-CZ"/>
        </w:rPr>
      </w:pPr>
      <w:r w:rsidRPr="003F3510">
        <w:rPr>
          <w:rFonts w:cs="Times New Roman"/>
          <w:b/>
          <w:bCs/>
          <w:color w:val="000000"/>
          <w:sz w:val="20"/>
          <w:szCs w:val="20"/>
          <w:lang w:val="cs-CZ"/>
        </w:rPr>
        <w:t xml:space="preserve">Tab. P1.5: </w:t>
      </w:r>
      <w:r w:rsidRPr="003F3510">
        <w:rPr>
          <w:rFonts w:cs="Times New Roman"/>
          <w:b/>
          <w:bCs/>
          <w:sz w:val="20"/>
          <w:szCs w:val="20"/>
          <w:lang w:val="cs-CZ"/>
        </w:rPr>
        <w:t xml:space="preserve"> Vývoj produkce ovoce a zeleniny uvedené na trh organizacemi producentů a produkce ČR</w:t>
      </w:r>
      <w:r w:rsidRPr="00B25A22">
        <w:rPr>
          <w:rFonts w:cs="Times New Roman"/>
          <w:noProof/>
          <w:sz w:val="22"/>
          <w:lang w:val="cs-CZ" w:eastAsia="cs-CZ"/>
        </w:rPr>
        <w:drawing>
          <wp:inline distT="0" distB="0" distL="0" distR="0" wp14:anchorId="349112BF" wp14:editId="3C88FC8F">
            <wp:extent cx="5800725" cy="982322"/>
            <wp:effectExtent l="0" t="0" r="0" b="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8" cstate="print">
                      <a:extLst>
                        <a:ext uri="{28A0092B-C50C-407E-A947-70E740481C1C}">
                          <a14:useLocalDpi xmlns:a14="http://schemas.microsoft.com/office/drawing/2010/main" val="0"/>
                        </a:ext>
                      </a:extLst>
                    </a:blip>
                    <a:srcRect l="1157" t="12382" r="2116"/>
                    <a:stretch/>
                  </pic:blipFill>
                  <pic:spPr bwMode="auto">
                    <a:xfrm>
                      <a:off x="0" y="0"/>
                      <a:ext cx="5834636" cy="988065"/>
                    </a:xfrm>
                    <a:prstGeom prst="rect">
                      <a:avLst/>
                    </a:prstGeom>
                    <a:noFill/>
                    <a:ln>
                      <a:noFill/>
                    </a:ln>
                    <a:extLst>
                      <a:ext uri="{53640926-AAD7-44D8-BBD7-CCE9431645EC}">
                        <a14:shadowObscured xmlns:a14="http://schemas.microsoft.com/office/drawing/2010/main"/>
                      </a:ext>
                    </a:extLst>
                  </pic:spPr>
                </pic:pic>
              </a:graphicData>
            </a:graphic>
          </wp:inline>
        </w:drawing>
      </w:r>
    </w:p>
    <w:p w14:paraId="22214398" w14:textId="77777777" w:rsidR="00AA3A5F" w:rsidRPr="00B25A22" w:rsidRDefault="00AA3A5F" w:rsidP="006D5523">
      <w:pPr>
        <w:pStyle w:val="UZEINormaln"/>
      </w:pPr>
      <w:r w:rsidRPr="00B25A22">
        <w:t xml:space="preserve">Na základě dotazníkového šetření pořídily OP v rámci </w:t>
      </w:r>
      <w:r w:rsidRPr="00B25A22">
        <w:rPr>
          <w:b/>
        </w:rPr>
        <w:t>Opatření č. 1</w:t>
      </w:r>
      <w:r w:rsidRPr="00B25A22">
        <w:t xml:space="preserve"> zejména kancelářskou techniku, software a použili na osobní náklady. V rámci </w:t>
      </w:r>
      <w:r w:rsidRPr="00B25A22">
        <w:rPr>
          <w:b/>
        </w:rPr>
        <w:t>Opatření č. 2</w:t>
      </w:r>
      <w:r w:rsidRPr="00B25A22">
        <w:t xml:space="preserve">, jedno z nejvíce využívaných opatření, pořídily OP obalovou techniku, přepravní zařízení, certifikaci (např. GLOBALGAP, BRC, IFC), protikroupové sítě a investovaly do lidských zdrojů. </w:t>
      </w:r>
      <w:r w:rsidRPr="00B25A22">
        <w:rPr>
          <w:b/>
        </w:rPr>
        <w:t xml:space="preserve">Opatření č. </w:t>
      </w:r>
      <w:r w:rsidRPr="00B25A22">
        <w:rPr>
          <w:b/>
        </w:rPr>
        <w:lastRenderedPageBreak/>
        <w:t>3</w:t>
      </w:r>
      <w:r w:rsidRPr="00B25A22">
        <w:t xml:space="preserve">, o jehož náplň v průběhu let rostl zájem, v rámci tohoto opatření pořizovaly OP technologie pro posklizňovou úpravu produkce, dále pak technologie pro třídění nebo balení produkce. Tyto technologie jsou velmi investičně náročné, peníze z operačních programů nestačí (názor OP z dotazníkového šetření z TU 35). </w:t>
      </w:r>
      <w:r w:rsidRPr="00B25A22">
        <w:rPr>
          <w:b/>
        </w:rPr>
        <w:t>Opatření č. 4</w:t>
      </w:r>
      <w:r w:rsidRPr="00B25A22">
        <w:t xml:space="preserve"> není OP příliš využíváno. Obecně využívají spíše OP s vyšší obchodovatelnou produkcí a OP, které obchodují s více druhy ovoce a zeleniny. Největší podíl vyprodukovaného a zobchodovaného ovoce a zeleniny je v režimu integrované produkce. Většina OP poskytuje k tomuto tématu poradenství a školení. </w:t>
      </w:r>
      <w:r w:rsidRPr="00B25A22">
        <w:rPr>
          <w:b/>
        </w:rPr>
        <w:t>Opatření č. 5</w:t>
      </w:r>
      <w:r w:rsidRPr="00B25A22">
        <w:t xml:space="preserve"> využilo na základě dotazníkového 13 OP ze 14 OP (tj. v letech 2012 a 2013), bylo využíváno zejména na podporu pojištění a na investice pro propagaci ke zvýšení spotřeby ovoce a zeleniny. V rámci </w:t>
      </w:r>
      <w:r w:rsidRPr="00B25A22">
        <w:rPr>
          <w:b/>
        </w:rPr>
        <w:t>Opatření č. 6</w:t>
      </w:r>
      <w:r w:rsidRPr="00B25A22">
        <w:t xml:space="preserve"> podle dotazníkového šetření OP nejvíce investovaly do techniky zvyšující přirozenou úrodnost půdy, zvýšení biodiverzity půdy, nechemické metody ochrany, nákup netkaných textilií; introdukce predátorů a biologická metoda ochrany; šetrné hospodaření s vodou, rekonstrukce závlahových zařízení a výměna starých chladicích systémů. </w:t>
      </w:r>
      <w:r w:rsidRPr="00B25A22">
        <w:rPr>
          <w:b/>
        </w:rPr>
        <w:t>Opatření č. 7</w:t>
      </w:r>
      <w:r w:rsidRPr="00B25A22">
        <w:t xml:space="preserve"> bylo čerpáno na administrativní náklady dle platné legislativy.</w:t>
      </w:r>
    </w:p>
    <w:p w14:paraId="712ADA9C" w14:textId="77777777" w:rsidR="00AA3A5F" w:rsidRPr="006D5523" w:rsidRDefault="00AA3A5F" w:rsidP="00AA3A5F">
      <w:pPr>
        <w:rPr>
          <w:rFonts w:cs="Times New Roman"/>
          <w:sz w:val="20"/>
          <w:szCs w:val="20"/>
          <w:lang w:val="cs-CZ"/>
        </w:rPr>
      </w:pPr>
      <w:r w:rsidRPr="006D5523">
        <w:rPr>
          <w:rFonts w:cs="Times New Roman"/>
          <w:b/>
          <w:bCs/>
          <w:color w:val="000000"/>
          <w:sz w:val="20"/>
          <w:szCs w:val="20"/>
          <w:lang w:val="cs-CZ"/>
        </w:rPr>
        <w:t>Tab. P1.6: Počet organizací producentů, členů OP a údaje za produkci a plochu člena</w:t>
      </w:r>
    </w:p>
    <w:p w14:paraId="77D038DC" w14:textId="63288379" w:rsidR="00AA3A5F" w:rsidRPr="00B25A22" w:rsidRDefault="00AA3A5F" w:rsidP="00AA3A5F">
      <w:pPr>
        <w:rPr>
          <w:rFonts w:cs="Times New Roman"/>
          <w:sz w:val="22"/>
          <w:lang w:val="cs-CZ"/>
        </w:rPr>
      </w:pPr>
      <w:r w:rsidRPr="00B25A22">
        <w:rPr>
          <w:rFonts w:cs="Times New Roman"/>
          <w:noProof/>
          <w:sz w:val="22"/>
          <w:lang w:val="cs-CZ" w:eastAsia="cs-CZ"/>
        </w:rPr>
        <w:drawing>
          <wp:inline distT="0" distB="0" distL="0" distR="0" wp14:anchorId="6E4DC540" wp14:editId="38951725">
            <wp:extent cx="5800725" cy="1964623"/>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l="1" t="7344" r="1422"/>
                    <a:stretch/>
                  </pic:blipFill>
                  <pic:spPr bwMode="auto">
                    <a:xfrm>
                      <a:off x="0" y="0"/>
                      <a:ext cx="5819704" cy="1971051"/>
                    </a:xfrm>
                    <a:prstGeom prst="rect">
                      <a:avLst/>
                    </a:prstGeom>
                    <a:noFill/>
                    <a:ln>
                      <a:noFill/>
                    </a:ln>
                    <a:extLst>
                      <a:ext uri="{53640926-AAD7-44D8-BBD7-CCE9431645EC}">
                        <a14:shadowObscured xmlns:a14="http://schemas.microsoft.com/office/drawing/2010/main"/>
                      </a:ext>
                    </a:extLst>
                  </pic:spPr>
                </pic:pic>
              </a:graphicData>
            </a:graphic>
          </wp:inline>
        </w:drawing>
      </w:r>
    </w:p>
    <w:p w14:paraId="0A224C62" w14:textId="77777777" w:rsidR="00AA3A5F" w:rsidRPr="00B25A22" w:rsidRDefault="00AA3A5F" w:rsidP="00AA3A5F">
      <w:pPr>
        <w:rPr>
          <w:rFonts w:cs="Times New Roman"/>
          <w:sz w:val="22"/>
          <w:lang w:val="cs-CZ"/>
        </w:rPr>
      </w:pPr>
    </w:p>
    <w:p w14:paraId="60D8FF60" w14:textId="77777777" w:rsidR="00AA3A5F" w:rsidRPr="006D5523" w:rsidRDefault="00AA3A5F" w:rsidP="00AA3A5F">
      <w:pPr>
        <w:tabs>
          <w:tab w:val="num" w:pos="1134"/>
        </w:tabs>
        <w:rPr>
          <w:rFonts w:cs="Times New Roman"/>
          <w:b/>
          <w:sz w:val="20"/>
          <w:szCs w:val="20"/>
          <w:lang w:val="cs-CZ"/>
        </w:rPr>
      </w:pPr>
      <w:r w:rsidRPr="006D5523">
        <w:rPr>
          <w:rFonts w:cs="Times New Roman"/>
          <w:b/>
          <w:sz w:val="20"/>
          <w:szCs w:val="20"/>
          <w:lang w:val="cs-CZ"/>
        </w:rPr>
        <w:t>Graf P 1.6: Důvody založení organizací producentů v pořadí priorit podle indikátoru pořadí</w:t>
      </w:r>
    </w:p>
    <w:p w14:paraId="7FC9F36B" w14:textId="77777777" w:rsidR="00AA3A5F" w:rsidRPr="00B25A22" w:rsidRDefault="00AA3A5F" w:rsidP="00AA3A5F">
      <w:pPr>
        <w:spacing w:line="300" w:lineRule="atLeast"/>
        <w:rPr>
          <w:rFonts w:cs="Times New Roman"/>
          <w:sz w:val="22"/>
          <w:lang w:val="cs-CZ"/>
        </w:rPr>
      </w:pPr>
      <w:r w:rsidRPr="00B25A22">
        <w:rPr>
          <w:rFonts w:cs="Times New Roman"/>
          <w:noProof/>
          <w:lang w:val="cs-CZ" w:eastAsia="cs-CZ"/>
        </w:rPr>
        <w:drawing>
          <wp:inline distT="0" distB="0" distL="0" distR="0" wp14:anchorId="4AA5B9B0" wp14:editId="52D16735">
            <wp:extent cx="5667374" cy="3181350"/>
            <wp:effectExtent l="0" t="0" r="9525" b="0"/>
            <wp:docPr id="1258299825"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1"/>
                    <pic:cNvPicPr/>
                  </pic:nvPicPr>
                  <pic:blipFill>
                    <a:blip r:embed="rId40">
                      <a:extLst>
                        <a:ext uri="{28A0092B-C50C-407E-A947-70E740481C1C}">
                          <a14:useLocalDpi xmlns:a14="http://schemas.microsoft.com/office/drawing/2010/main" val="0"/>
                        </a:ext>
                      </a:extLst>
                    </a:blip>
                    <a:stretch>
                      <a:fillRect/>
                    </a:stretch>
                  </pic:blipFill>
                  <pic:spPr>
                    <a:xfrm>
                      <a:off x="0" y="0"/>
                      <a:ext cx="5667374" cy="3181350"/>
                    </a:xfrm>
                    <a:prstGeom prst="rect">
                      <a:avLst/>
                    </a:prstGeom>
                  </pic:spPr>
                </pic:pic>
              </a:graphicData>
            </a:graphic>
          </wp:inline>
        </w:drawing>
      </w:r>
    </w:p>
    <w:p w14:paraId="018C3F25" w14:textId="77777777" w:rsidR="00AA3A5F" w:rsidRPr="00B25A22" w:rsidRDefault="00AA3A5F" w:rsidP="006D5523">
      <w:pPr>
        <w:pStyle w:val="UZEIZdroj"/>
      </w:pPr>
      <w:r w:rsidRPr="00B25A22">
        <w:t>Pramen: šetření ÚZEI</w:t>
      </w:r>
    </w:p>
    <w:p w14:paraId="13507E73" w14:textId="77777777" w:rsidR="006D5523" w:rsidRDefault="006D5523" w:rsidP="00AA3A5F">
      <w:pPr>
        <w:tabs>
          <w:tab w:val="num" w:pos="1134"/>
        </w:tabs>
        <w:rPr>
          <w:rFonts w:cs="Times New Roman"/>
          <w:b/>
          <w:sz w:val="22"/>
          <w:lang w:val="cs-CZ"/>
        </w:rPr>
      </w:pPr>
    </w:p>
    <w:p w14:paraId="038623CD" w14:textId="77777777" w:rsidR="006D5523" w:rsidRDefault="006D5523" w:rsidP="00AA3A5F">
      <w:pPr>
        <w:tabs>
          <w:tab w:val="num" w:pos="1134"/>
        </w:tabs>
        <w:rPr>
          <w:rFonts w:cs="Times New Roman"/>
          <w:b/>
          <w:sz w:val="22"/>
          <w:lang w:val="cs-CZ"/>
        </w:rPr>
      </w:pPr>
    </w:p>
    <w:p w14:paraId="7C5F17E0" w14:textId="120FCF08" w:rsidR="00AA3A5F" w:rsidRPr="006D5523" w:rsidRDefault="00AA3A5F" w:rsidP="00AA3A5F">
      <w:pPr>
        <w:tabs>
          <w:tab w:val="num" w:pos="1134"/>
        </w:tabs>
        <w:rPr>
          <w:rFonts w:cs="Times New Roman"/>
          <w:b/>
          <w:sz w:val="20"/>
          <w:szCs w:val="20"/>
          <w:lang w:val="cs-CZ"/>
        </w:rPr>
      </w:pPr>
      <w:r w:rsidRPr="006D5523">
        <w:rPr>
          <w:rFonts w:cs="Times New Roman"/>
          <w:b/>
          <w:sz w:val="20"/>
          <w:szCs w:val="20"/>
          <w:lang w:val="cs-CZ"/>
        </w:rPr>
        <w:lastRenderedPageBreak/>
        <w:t>Graf P 1.7: Důvody prvovýrobců pro vstup do OP podle četností odpovědí v %</w:t>
      </w:r>
    </w:p>
    <w:p w14:paraId="6723D75F" w14:textId="77777777" w:rsidR="00AA3A5F" w:rsidRPr="00B25A22" w:rsidRDefault="00AA3A5F" w:rsidP="00AA3A5F">
      <w:pPr>
        <w:rPr>
          <w:rFonts w:cs="Times New Roman"/>
          <w:sz w:val="22"/>
          <w:lang w:val="cs-CZ"/>
        </w:rPr>
      </w:pPr>
      <w:r w:rsidRPr="00B25A22">
        <w:rPr>
          <w:rFonts w:cs="Times New Roman"/>
          <w:noProof/>
          <w:lang w:val="cs-CZ" w:eastAsia="cs-CZ"/>
        </w:rPr>
        <w:drawing>
          <wp:inline distT="0" distB="0" distL="0" distR="0" wp14:anchorId="46714707" wp14:editId="02BEAB2B">
            <wp:extent cx="5667374" cy="3387090"/>
            <wp:effectExtent l="0" t="0" r="9525" b="3810"/>
            <wp:docPr id="20726469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0"/>
                    <pic:cNvPicPr/>
                  </pic:nvPicPr>
                  <pic:blipFill>
                    <a:blip r:embed="rId41">
                      <a:extLst>
                        <a:ext uri="{28A0092B-C50C-407E-A947-70E740481C1C}">
                          <a14:useLocalDpi xmlns:a14="http://schemas.microsoft.com/office/drawing/2010/main" val="0"/>
                        </a:ext>
                      </a:extLst>
                    </a:blip>
                    <a:stretch>
                      <a:fillRect/>
                    </a:stretch>
                  </pic:blipFill>
                  <pic:spPr>
                    <a:xfrm>
                      <a:off x="0" y="0"/>
                      <a:ext cx="5667374" cy="3387090"/>
                    </a:xfrm>
                    <a:prstGeom prst="rect">
                      <a:avLst/>
                    </a:prstGeom>
                  </pic:spPr>
                </pic:pic>
              </a:graphicData>
            </a:graphic>
          </wp:inline>
        </w:drawing>
      </w:r>
    </w:p>
    <w:p w14:paraId="650A4B93" w14:textId="77777777" w:rsidR="00AA3A5F" w:rsidRPr="00B25A22" w:rsidRDefault="00AA3A5F" w:rsidP="006D5523">
      <w:pPr>
        <w:pStyle w:val="UZEIZdroj"/>
      </w:pPr>
      <w:r w:rsidRPr="00B25A22">
        <w:t>Pramen: šetření ÚZEI</w:t>
      </w:r>
    </w:p>
    <w:p w14:paraId="57022E1A" w14:textId="77777777" w:rsidR="00AA3A5F" w:rsidRPr="00B25A22" w:rsidRDefault="00AA3A5F" w:rsidP="00AA3A5F">
      <w:pPr>
        <w:rPr>
          <w:rFonts w:cs="Times New Roman"/>
          <w:sz w:val="22"/>
          <w:lang w:val="cs-CZ"/>
        </w:rPr>
      </w:pPr>
    </w:p>
    <w:p w14:paraId="2D722954" w14:textId="12EFC720" w:rsidR="00AA3A5F" w:rsidRPr="006D5523" w:rsidRDefault="00AA3A5F" w:rsidP="006D5523">
      <w:pPr>
        <w:pStyle w:val="UZEINadpis4st"/>
      </w:pPr>
      <w:bookmarkStart w:id="97" w:name="_Toc12598438"/>
      <w:bookmarkStart w:id="98" w:name="_Toc81743841"/>
      <w:r w:rsidRPr="00B25A22">
        <w:t>Příloha 2</w:t>
      </w:r>
      <w:bookmarkStart w:id="99" w:name="_Toc12598439"/>
      <w:bookmarkEnd w:id="97"/>
      <w:r w:rsidR="006D5523">
        <w:t xml:space="preserve"> </w:t>
      </w:r>
      <w:r w:rsidRPr="00B25A22">
        <w:rPr>
          <w:rFonts w:cs="Times New Roman"/>
        </w:rPr>
        <w:t>Shrnutí Vyhodnocení programu podpor ve vinohradnictví a vinařství v ČR</w:t>
      </w:r>
      <w:bookmarkEnd w:id="98"/>
      <w:bookmarkEnd w:id="99"/>
      <w:r w:rsidRPr="00B25A22">
        <w:rPr>
          <w:rFonts w:cs="Times New Roman"/>
        </w:rPr>
        <w:t xml:space="preserve"> </w:t>
      </w:r>
    </w:p>
    <w:p w14:paraId="0FA84253" w14:textId="77777777" w:rsidR="00AA3A5F" w:rsidRPr="00B25A22" w:rsidRDefault="00AA3A5F" w:rsidP="00AA3A5F">
      <w:pPr>
        <w:rPr>
          <w:rFonts w:cs="Times New Roman"/>
          <w:lang w:val="cs-CZ"/>
        </w:rPr>
      </w:pPr>
    </w:p>
    <w:p w14:paraId="45053694" w14:textId="77777777" w:rsidR="00AA3A5F" w:rsidRPr="00B25A22" w:rsidRDefault="00AA3A5F" w:rsidP="006D5523">
      <w:pPr>
        <w:pStyle w:val="UZEINormaln"/>
      </w:pPr>
      <w:r w:rsidRPr="00B25A22">
        <w:t>V rámci společné organizace trhu je v České republice zaveden systém podpor pro vinohradnictví a vinařství. Pracovníky ÚZEI (Abrahamová a kol., 2017)</w:t>
      </w:r>
      <w:r w:rsidRPr="00B25A22">
        <w:rPr>
          <w:rStyle w:val="Znakapoznpodarou"/>
        </w:rPr>
        <w:footnoteReference w:id="33"/>
      </w:r>
      <w:r w:rsidRPr="00B25A22">
        <w:t xml:space="preserve"> bylo provedeno vyhodnocení za sledované období 2013/14–2015/16. Dále bylo provedeno vyhodnocení pracovníky ÚZEI (Abrahamová a kol., 2019) </w:t>
      </w:r>
      <w:r w:rsidRPr="00B25A22">
        <w:rPr>
          <w:rStyle w:val="Znakapoznpodarou"/>
        </w:rPr>
        <w:footnoteReference w:id="34"/>
      </w:r>
      <w:r w:rsidRPr="00B25A22">
        <w:t xml:space="preserve"> za období 2013/14-2017/18. V rámci aktuálního programu pro roky 2019-2023 bylo provedeno vyhodnocení prvního roku (2018/19) tohoto období.</w:t>
      </w:r>
    </w:p>
    <w:p w14:paraId="740BB017" w14:textId="77777777" w:rsidR="00AA3A5F" w:rsidRPr="00B25A22" w:rsidRDefault="00AA3A5F" w:rsidP="006D5523">
      <w:pPr>
        <w:pStyle w:val="UZEINormaln"/>
      </w:pPr>
      <w:r w:rsidRPr="00B25A22">
        <w:t>Pro vinohradnictví je zavedeno opatření „Restrukturalizace“, pro vinařství je opatření „Investice na nová zařízení pro výrobu vinařských produktů“. To se dále dělí na podopatření „Zpracovatelské investice“ a podopatření „Investice na zlepšení technologie stáčení vín“.</w:t>
      </w:r>
    </w:p>
    <w:p w14:paraId="7F6F6ADF" w14:textId="77777777" w:rsidR="00AA3A5F" w:rsidRPr="006D5523" w:rsidRDefault="00AA3A5F" w:rsidP="006D5523">
      <w:pPr>
        <w:pStyle w:val="UZEINormaln"/>
        <w:rPr>
          <w:u w:val="single"/>
        </w:rPr>
      </w:pPr>
      <w:r w:rsidRPr="006D5523">
        <w:rPr>
          <w:u w:val="single"/>
        </w:rPr>
        <w:t>Restrukturalizace</w:t>
      </w:r>
    </w:p>
    <w:p w14:paraId="7063EB6A" w14:textId="77777777" w:rsidR="00AA3A5F" w:rsidRPr="00B25A22" w:rsidRDefault="00AA3A5F" w:rsidP="006D5523">
      <w:pPr>
        <w:pStyle w:val="UZEINormaln"/>
      </w:pPr>
      <w:r w:rsidRPr="00B25A22">
        <w:t>V opatření „Restrukturalizace“ byly v uvedených dvou uzavřených, a i v aktuálně probíhajícím období tři dotační tituly, a to „Změna odrůdové skladby vinice“, „Přesun vinice do svahu“ a od 15. 12. 2015 nově zavedený titul „Technika zlepšující obhospodařování vinic“. Dříve vedený titul „Snížení produkce révy vinné na jednom keři“ byl zrušen k 31. 7. 2014.</w:t>
      </w:r>
    </w:p>
    <w:p w14:paraId="04100AC6" w14:textId="77777777" w:rsidR="006D5523" w:rsidRDefault="006D5523" w:rsidP="00AA3A5F">
      <w:pPr>
        <w:spacing w:line="300" w:lineRule="atLeast"/>
        <w:rPr>
          <w:rFonts w:cs="Times New Roman"/>
          <w:b/>
          <w:sz w:val="20"/>
          <w:szCs w:val="20"/>
          <w:lang w:val="cs-CZ"/>
        </w:rPr>
      </w:pPr>
    </w:p>
    <w:p w14:paraId="428079D9" w14:textId="77777777" w:rsidR="006D5523" w:rsidRDefault="006D5523" w:rsidP="00AA3A5F">
      <w:pPr>
        <w:spacing w:line="300" w:lineRule="atLeast"/>
        <w:rPr>
          <w:rFonts w:cs="Times New Roman"/>
          <w:b/>
          <w:sz w:val="20"/>
          <w:szCs w:val="20"/>
          <w:lang w:val="cs-CZ"/>
        </w:rPr>
      </w:pPr>
    </w:p>
    <w:p w14:paraId="0ED23343" w14:textId="77777777" w:rsidR="006D5523" w:rsidRDefault="006D5523" w:rsidP="00AA3A5F">
      <w:pPr>
        <w:spacing w:line="300" w:lineRule="atLeast"/>
        <w:rPr>
          <w:rFonts w:cs="Times New Roman"/>
          <w:b/>
          <w:sz w:val="20"/>
          <w:szCs w:val="20"/>
          <w:lang w:val="cs-CZ"/>
        </w:rPr>
      </w:pPr>
    </w:p>
    <w:p w14:paraId="444B2BD5" w14:textId="55CF5A90" w:rsidR="00AA3A5F" w:rsidRPr="006D5523" w:rsidRDefault="00AA3A5F" w:rsidP="00AA3A5F">
      <w:pPr>
        <w:spacing w:line="300" w:lineRule="atLeast"/>
        <w:rPr>
          <w:rFonts w:cs="Times New Roman"/>
          <w:sz w:val="20"/>
          <w:szCs w:val="20"/>
          <w:lang w:val="cs-CZ"/>
        </w:rPr>
      </w:pPr>
      <w:r w:rsidRPr="006D5523">
        <w:rPr>
          <w:rFonts w:cs="Times New Roman"/>
          <w:b/>
          <w:sz w:val="20"/>
          <w:szCs w:val="20"/>
          <w:lang w:val="cs-CZ"/>
        </w:rPr>
        <w:lastRenderedPageBreak/>
        <w:t>Tab. P 2.1: Plocha osázených vinic a počet pěstitelů v jednotlivých letech</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2160"/>
        <w:gridCol w:w="1544"/>
        <w:gridCol w:w="1472"/>
        <w:gridCol w:w="1308"/>
        <w:gridCol w:w="1308"/>
        <w:gridCol w:w="1204"/>
      </w:tblGrid>
      <w:tr w:rsidR="00AA3A5F" w:rsidRPr="006D5523" w14:paraId="0B973DF3" w14:textId="77777777" w:rsidTr="007A68D5">
        <w:trPr>
          <w:trHeight w:val="315"/>
        </w:trPr>
        <w:tc>
          <w:tcPr>
            <w:tcW w:w="1201" w:type="pct"/>
            <w:shd w:val="clear" w:color="auto" w:fill="auto"/>
            <w:noWrap/>
            <w:vAlign w:val="bottom"/>
            <w:hideMark/>
          </w:tcPr>
          <w:p w14:paraId="12DD5AA1" w14:textId="77777777" w:rsidR="00AA3A5F" w:rsidRPr="006D5523" w:rsidRDefault="00AA3A5F" w:rsidP="007A68D5">
            <w:pPr>
              <w:rPr>
                <w:rFonts w:cs="Times New Roman"/>
                <w:color w:val="000000"/>
                <w:sz w:val="20"/>
                <w:szCs w:val="20"/>
                <w:lang w:val="cs-CZ"/>
              </w:rPr>
            </w:pPr>
          </w:p>
        </w:tc>
        <w:tc>
          <w:tcPr>
            <w:tcW w:w="858" w:type="pct"/>
            <w:shd w:val="clear" w:color="auto" w:fill="auto"/>
            <w:noWrap/>
            <w:vAlign w:val="bottom"/>
            <w:hideMark/>
          </w:tcPr>
          <w:p w14:paraId="50EA9A92"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2014</w:t>
            </w:r>
          </w:p>
        </w:tc>
        <w:tc>
          <w:tcPr>
            <w:tcW w:w="818" w:type="pct"/>
            <w:shd w:val="clear" w:color="auto" w:fill="auto"/>
            <w:noWrap/>
            <w:vAlign w:val="bottom"/>
            <w:hideMark/>
          </w:tcPr>
          <w:p w14:paraId="5338A2D6"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2015</w:t>
            </w:r>
          </w:p>
        </w:tc>
        <w:tc>
          <w:tcPr>
            <w:tcW w:w="727" w:type="pct"/>
            <w:shd w:val="clear" w:color="auto" w:fill="auto"/>
            <w:noWrap/>
            <w:vAlign w:val="bottom"/>
            <w:hideMark/>
          </w:tcPr>
          <w:p w14:paraId="3ECBD6BD"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2016</w:t>
            </w:r>
          </w:p>
        </w:tc>
        <w:tc>
          <w:tcPr>
            <w:tcW w:w="727" w:type="pct"/>
            <w:shd w:val="clear" w:color="auto" w:fill="auto"/>
            <w:noWrap/>
            <w:vAlign w:val="bottom"/>
            <w:hideMark/>
          </w:tcPr>
          <w:p w14:paraId="2CF9F930"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2017</w:t>
            </w:r>
          </w:p>
        </w:tc>
        <w:tc>
          <w:tcPr>
            <w:tcW w:w="670" w:type="pct"/>
          </w:tcPr>
          <w:p w14:paraId="0CD968D4"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2018</w:t>
            </w:r>
          </w:p>
        </w:tc>
      </w:tr>
      <w:tr w:rsidR="00AA3A5F" w:rsidRPr="006D5523" w14:paraId="6F2A625B" w14:textId="77777777" w:rsidTr="007A68D5">
        <w:trPr>
          <w:trHeight w:val="315"/>
        </w:trPr>
        <w:tc>
          <w:tcPr>
            <w:tcW w:w="1201" w:type="pct"/>
            <w:shd w:val="clear" w:color="auto" w:fill="auto"/>
            <w:noWrap/>
            <w:vAlign w:val="bottom"/>
            <w:hideMark/>
          </w:tcPr>
          <w:p w14:paraId="443037D8" w14:textId="77777777" w:rsidR="00AA3A5F" w:rsidRPr="006D5523" w:rsidRDefault="00AA3A5F" w:rsidP="007A68D5">
            <w:pPr>
              <w:rPr>
                <w:rFonts w:cs="Times New Roman"/>
                <w:color w:val="000000"/>
                <w:sz w:val="20"/>
                <w:szCs w:val="20"/>
                <w:lang w:val="cs-CZ"/>
              </w:rPr>
            </w:pPr>
            <w:r w:rsidRPr="006D5523">
              <w:rPr>
                <w:rFonts w:cs="Times New Roman"/>
                <w:color w:val="000000"/>
                <w:sz w:val="20"/>
                <w:szCs w:val="20"/>
                <w:lang w:val="cs-CZ"/>
              </w:rPr>
              <w:t>Plocha osázených vinic</w:t>
            </w:r>
          </w:p>
        </w:tc>
        <w:tc>
          <w:tcPr>
            <w:tcW w:w="858" w:type="pct"/>
            <w:shd w:val="clear" w:color="auto" w:fill="auto"/>
            <w:noWrap/>
            <w:vAlign w:val="bottom"/>
            <w:hideMark/>
          </w:tcPr>
          <w:p w14:paraId="08DB2586"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17 668</w:t>
            </w:r>
          </w:p>
        </w:tc>
        <w:tc>
          <w:tcPr>
            <w:tcW w:w="818" w:type="pct"/>
            <w:shd w:val="clear" w:color="auto" w:fill="auto"/>
            <w:noWrap/>
            <w:vAlign w:val="bottom"/>
            <w:hideMark/>
          </w:tcPr>
          <w:p w14:paraId="5A3B472A"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17 678</w:t>
            </w:r>
          </w:p>
        </w:tc>
        <w:tc>
          <w:tcPr>
            <w:tcW w:w="727" w:type="pct"/>
            <w:shd w:val="clear" w:color="auto" w:fill="auto"/>
            <w:noWrap/>
            <w:vAlign w:val="bottom"/>
            <w:hideMark/>
          </w:tcPr>
          <w:p w14:paraId="2F260D05"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17 737</w:t>
            </w:r>
          </w:p>
        </w:tc>
        <w:tc>
          <w:tcPr>
            <w:tcW w:w="727" w:type="pct"/>
            <w:shd w:val="clear" w:color="auto" w:fill="auto"/>
            <w:noWrap/>
            <w:vAlign w:val="bottom"/>
            <w:hideMark/>
          </w:tcPr>
          <w:p w14:paraId="61CE4ED5"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17 903</w:t>
            </w:r>
          </w:p>
        </w:tc>
        <w:tc>
          <w:tcPr>
            <w:tcW w:w="670" w:type="pct"/>
            <w:vAlign w:val="center"/>
          </w:tcPr>
          <w:p w14:paraId="42B32F4D"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18068</w:t>
            </w:r>
          </w:p>
        </w:tc>
      </w:tr>
      <w:tr w:rsidR="00AA3A5F" w:rsidRPr="006D5523" w14:paraId="07C4F75F" w14:textId="77777777" w:rsidTr="007A68D5">
        <w:trPr>
          <w:trHeight w:val="315"/>
        </w:trPr>
        <w:tc>
          <w:tcPr>
            <w:tcW w:w="1201" w:type="pct"/>
            <w:shd w:val="clear" w:color="auto" w:fill="auto"/>
            <w:noWrap/>
            <w:vAlign w:val="bottom"/>
            <w:hideMark/>
          </w:tcPr>
          <w:p w14:paraId="480C1E8A" w14:textId="77777777" w:rsidR="00AA3A5F" w:rsidRPr="006D5523" w:rsidRDefault="00AA3A5F" w:rsidP="007A68D5">
            <w:pPr>
              <w:rPr>
                <w:rFonts w:cs="Times New Roman"/>
                <w:color w:val="000000"/>
                <w:sz w:val="20"/>
                <w:szCs w:val="20"/>
                <w:lang w:val="cs-CZ"/>
              </w:rPr>
            </w:pPr>
            <w:r w:rsidRPr="006D5523">
              <w:rPr>
                <w:rFonts w:cs="Times New Roman"/>
                <w:color w:val="000000"/>
                <w:sz w:val="20"/>
                <w:szCs w:val="20"/>
                <w:lang w:val="cs-CZ"/>
              </w:rPr>
              <w:t>Počet pěstitelů</w:t>
            </w:r>
          </w:p>
        </w:tc>
        <w:tc>
          <w:tcPr>
            <w:tcW w:w="858" w:type="pct"/>
            <w:shd w:val="clear" w:color="auto" w:fill="auto"/>
            <w:noWrap/>
            <w:vAlign w:val="bottom"/>
            <w:hideMark/>
          </w:tcPr>
          <w:p w14:paraId="13FC7A1D"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18 500</w:t>
            </w:r>
          </w:p>
        </w:tc>
        <w:tc>
          <w:tcPr>
            <w:tcW w:w="818" w:type="pct"/>
            <w:shd w:val="clear" w:color="auto" w:fill="auto"/>
            <w:noWrap/>
            <w:vAlign w:val="bottom"/>
            <w:hideMark/>
          </w:tcPr>
          <w:p w14:paraId="57E5662D"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18 300</w:t>
            </w:r>
          </w:p>
        </w:tc>
        <w:tc>
          <w:tcPr>
            <w:tcW w:w="727" w:type="pct"/>
            <w:shd w:val="clear" w:color="auto" w:fill="auto"/>
            <w:noWrap/>
            <w:vAlign w:val="bottom"/>
            <w:hideMark/>
          </w:tcPr>
          <w:p w14:paraId="168DBCAB"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18 200</w:t>
            </w:r>
          </w:p>
        </w:tc>
        <w:tc>
          <w:tcPr>
            <w:tcW w:w="727" w:type="pct"/>
            <w:shd w:val="clear" w:color="auto" w:fill="auto"/>
            <w:noWrap/>
            <w:vAlign w:val="bottom"/>
            <w:hideMark/>
          </w:tcPr>
          <w:p w14:paraId="568BAA4F"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17 900</w:t>
            </w:r>
          </w:p>
        </w:tc>
        <w:tc>
          <w:tcPr>
            <w:tcW w:w="670" w:type="pct"/>
            <w:vAlign w:val="center"/>
          </w:tcPr>
          <w:p w14:paraId="47118FC3" w14:textId="77777777" w:rsidR="00AA3A5F" w:rsidRPr="006D5523" w:rsidRDefault="00AA3A5F" w:rsidP="007A68D5">
            <w:pPr>
              <w:jc w:val="right"/>
              <w:rPr>
                <w:rFonts w:cs="Times New Roman"/>
                <w:color w:val="000000"/>
                <w:sz w:val="20"/>
                <w:szCs w:val="20"/>
                <w:lang w:val="cs-CZ"/>
              </w:rPr>
            </w:pPr>
            <w:r w:rsidRPr="006D5523">
              <w:rPr>
                <w:rFonts w:cs="Times New Roman"/>
                <w:color w:val="000000"/>
                <w:sz w:val="20"/>
                <w:szCs w:val="20"/>
                <w:lang w:val="cs-CZ"/>
              </w:rPr>
              <w:t>17600</w:t>
            </w:r>
          </w:p>
        </w:tc>
      </w:tr>
    </w:tbl>
    <w:p w14:paraId="2A52AE96" w14:textId="77777777" w:rsidR="00AA3A5F" w:rsidRPr="00B25A22" w:rsidRDefault="00AA3A5F" w:rsidP="006D5523">
      <w:pPr>
        <w:pStyle w:val="UZEIZdroj"/>
        <w:rPr>
          <w:sz w:val="22"/>
        </w:rPr>
      </w:pPr>
      <w:r w:rsidRPr="00B25A22">
        <w:t xml:space="preserve">Pramen: Situační a výhledová zpráva réva vinná a víno </w:t>
      </w:r>
    </w:p>
    <w:p w14:paraId="41007760" w14:textId="77777777" w:rsidR="00AA3A5F" w:rsidRPr="006D5523" w:rsidRDefault="00AA3A5F" w:rsidP="00AA3A5F">
      <w:pPr>
        <w:rPr>
          <w:rFonts w:cs="Times New Roman"/>
          <w:b/>
          <w:sz w:val="20"/>
          <w:szCs w:val="20"/>
          <w:lang w:val="cs-CZ"/>
        </w:rPr>
      </w:pPr>
      <w:r w:rsidRPr="006D5523">
        <w:rPr>
          <w:rFonts w:cs="Times New Roman"/>
          <w:b/>
          <w:sz w:val="20"/>
          <w:szCs w:val="20"/>
          <w:lang w:val="cs-CZ"/>
        </w:rPr>
        <w:t>Tab. P 2.2: Restrukturalizace a přeměna vinic (ha)</w:t>
      </w:r>
    </w:p>
    <w:tbl>
      <w:tblPr>
        <w:tblW w:w="9298" w:type="dxa"/>
        <w:tblInd w:w="55" w:type="dxa"/>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90"/>
        <w:gridCol w:w="1544"/>
        <w:gridCol w:w="1213"/>
        <w:gridCol w:w="1525"/>
        <w:gridCol w:w="2081"/>
        <w:gridCol w:w="1345"/>
      </w:tblGrid>
      <w:tr w:rsidR="00AA3A5F" w:rsidRPr="006D5523" w14:paraId="72ADDBD5" w14:textId="77777777" w:rsidTr="007A68D5">
        <w:trPr>
          <w:trHeight w:val="291"/>
        </w:trPr>
        <w:tc>
          <w:tcPr>
            <w:tcW w:w="1590" w:type="dxa"/>
            <w:tcBorders>
              <w:top w:val="single" w:sz="18" w:space="0" w:color="auto"/>
              <w:left w:val="single" w:sz="18" w:space="0" w:color="auto"/>
              <w:bottom w:val="single" w:sz="12" w:space="0" w:color="auto"/>
              <w:right w:val="single" w:sz="12" w:space="0" w:color="auto"/>
            </w:tcBorders>
            <w:noWrap/>
            <w:tcMar>
              <w:top w:w="0" w:type="dxa"/>
              <w:left w:w="70" w:type="dxa"/>
              <w:bottom w:w="0" w:type="dxa"/>
              <w:right w:w="70" w:type="dxa"/>
            </w:tcMar>
            <w:vAlign w:val="center"/>
            <w:hideMark/>
          </w:tcPr>
          <w:p w14:paraId="49F07145" w14:textId="77777777" w:rsidR="00AA3A5F" w:rsidRPr="006D5523" w:rsidRDefault="00AA3A5F" w:rsidP="007A68D5">
            <w:pPr>
              <w:rPr>
                <w:rFonts w:cs="Times New Roman"/>
                <w:sz w:val="20"/>
                <w:szCs w:val="20"/>
                <w:lang w:val="cs-CZ"/>
              </w:rPr>
            </w:pPr>
            <w:r w:rsidRPr="006D5523">
              <w:rPr>
                <w:rFonts w:cs="Times New Roman"/>
                <w:sz w:val="20"/>
                <w:szCs w:val="20"/>
                <w:lang w:val="cs-CZ"/>
              </w:rPr>
              <w:t>Finanční rok</w:t>
            </w:r>
          </w:p>
        </w:tc>
        <w:tc>
          <w:tcPr>
            <w:tcW w:w="1544" w:type="dxa"/>
            <w:tcBorders>
              <w:top w:val="single" w:sz="18" w:space="0" w:color="auto"/>
              <w:left w:val="single" w:sz="12" w:space="0" w:color="auto"/>
              <w:bottom w:val="single" w:sz="12" w:space="0" w:color="auto"/>
              <w:right w:val="single" w:sz="6" w:space="0" w:color="auto"/>
            </w:tcBorders>
            <w:noWrap/>
            <w:tcMar>
              <w:top w:w="0" w:type="dxa"/>
              <w:left w:w="70" w:type="dxa"/>
              <w:bottom w:w="0" w:type="dxa"/>
              <w:right w:w="70" w:type="dxa"/>
            </w:tcMar>
            <w:vAlign w:val="center"/>
          </w:tcPr>
          <w:p w14:paraId="28364447" w14:textId="77777777" w:rsidR="00AA3A5F" w:rsidRPr="006D5523" w:rsidRDefault="00AA3A5F" w:rsidP="007A68D5">
            <w:pPr>
              <w:rPr>
                <w:rFonts w:cs="Times New Roman"/>
                <w:sz w:val="20"/>
                <w:szCs w:val="20"/>
                <w:lang w:val="cs-CZ"/>
              </w:rPr>
            </w:pPr>
            <w:r w:rsidRPr="006D5523">
              <w:rPr>
                <w:rFonts w:cs="Times New Roman"/>
                <w:sz w:val="20"/>
                <w:szCs w:val="20"/>
                <w:lang w:val="cs-CZ"/>
              </w:rPr>
              <w:t>Snížení produkce révy vinné na 1 keři</w:t>
            </w:r>
          </w:p>
        </w:tc>
        <w:tc>
          <w:tcPr>
            <w:tcW w:w="1213" w:type="dxa"/>
            <w:tcBorders>
              <w:top w:val="single" w:sz="18" w:space="0" w:color="auto"/>
              <w:left w:val="single" w:sz="6" w:space="0" w:color="auto"/>
              <w:bottom w:val="single" w:sz="12" w:space="0" w:color="auto"/>
              <w:right w:val="single" w:sz="6" w:space="0" w:color="auto"/>
            </w:tcBorders>
            <w:noWrap/>
            <w:tcMar>
              <w:top w:w="0" w:type="dxa"/>
              <w:left w:w="70" w:type="dxa"/>
              <w:bottom w:w="0" w:type="dxa"/>
              <w:right w:w="70" w:type="dxa"/>
            </w:tcMar>
            <w:vAlign w:val="center"/>
          </w:tcPr>
          <w:p w14:paraId="44E613F6" w14:textId="77777777" w:rsidR="00AA3A5F" w:rsidRPr="006D5523" w:rsidRDefault="00AA3A5F" w:rsidP="007A68D5">
            <w:pPr>
              <w:rPr>
                <w:rFonts w:cs="Times New Roman"/>
                <w:sz w:val="20"/>
                <w:szCs w:val="20"/>
                <w:lang w:val="cs-CZ"/>
              </w:rPr>
            </w:pPr>
            <w:r w:rsidRPr="006D5523">
              <w:rPr>
                <w:rFonts w:cs="Times New Roman"/>
                <w:sz w:val="20"/>
                <w:szCs w:val="20"/>
                <w:lang w:val="cs-CZ"/>
              </w:rPr>
              <w:t>Přesun vinice do svahu</w:t>
            </w:r>
          </w:p>
        </w:tc>
        <w:tc>
          <w:tcPr>
            <w:tcW w:w="1525" w:type="dxa"/>
            <w:tcBorders>
              <w:top w:val="single" w:sz="18" w:space="0" w:color="auto"/>
              <w:left w:val="single" w:sz="6" w:space="0" w:color="auto"/>
              <w:bottom w:val="single" w:sz="12" w:space="0" w:color="auto"/>
              <w:right w:val="single" w:sz="6" w:space="0" w:color="auto"/>
            </w:tcBorders>
            <w:noWrap/>
            <w:tcMar>
              <w:top w:w="0" w:type="dxa"/>
              <w:left w:w="70" w:type="dxa"/>
              <w:bottom w:w="0" w:type="dxa"/>
              <w:right w:w="70" w:type="dxa"/>
            </w:tcMar>
            <w:vAlign w:val="center"/>
          </w:tcPr>
          <w:p w14:paraId="499898BC" w14:textId="77777777" w:rsidR="00AA3A5F" w:rsidRPr="006D5523" w:rsidRDefault="00AA3A5F" w:rsidP="007A68D5">
            <w:pPr>
              <w:rPr>
                <w:rFonts w:cs="Times New Roman"/>
                <w:sz w:val="20"/>
                <w:szCs w:val="20"/>
                <w:lang w:val="cs-CZ"/>
              </w:rPr>
            </w:pPr>
            <w:r w:rsidRPr="006D5523">
              <w:rPr>
                <w:rFonts w:cs="Times New Roman"/>
                <w:sz w:val="20"/>
                <w:szCs w:val="20"/>
                <w:lang w:val="cs-CZ"/>
              </w:rPr>
              <w:t>Změna odrůdové skladby</w:t>
            </w:r>
          </w:p>
        </w:tc>
        <w:tc>
          <w:tcPr>
            <w:tcW w:w="2081" w:type="dxa"/>
            <w:tcBorders>
              <w:top w:val="single" w:sz="18" w:space="0" w:color="auto"/>
              <w:left w:val="single" w:sz="6" w:space="0" w:color="auto"/>
              <w:bottom w:val="single" w:sz="12" w:space="0" w:color="auto"/>
              <w:right w:val="single" w:sz="12" w:space="0" w:color="auto"/>
            </w:tcBorders>
            <w:vAlign w:val="center"/>
          </w:tcPr>
          <w:p w14:paraId="7E28525D" w14:textId="77777777" w:rsidR="00AA3A5F" w:rsidRPr="006D5523" w:rsidRDefault="00AA3A5F" w:rsidP="007A68D5">
            <w:pPr>
              <w:rPr>
                <w:rFonts w:cs="Times New Roman"/>
                <w:sz w:val="20"/>
                <w:szCs w:val="20"/>
                <w:lang w:val="cs-CZ"/>
              </w:rPr>
            </w:pPr>
            <w:r w:rsidRPr="006D5523">
              <w:rPr>
                <w:rFonts w:cs="Times New Roman"/>
                <w:sz w:val="20"/>
                <w:szCs w:val="20"/>
                <w:lang w:val="cs-CZ"/>
              </w:rPr>
              <w:t>Technika zlepšující obhospodařování vinic</w:t>
            </w:r>
          </w:p>
        </w:tc>
        <w:tc>
          <w:tcPr>
            <w:tcW w:w="1345" w:type="dxa"/>
            <w:tcBorders>
              <w:top w:val="single" w:sz="18" w:space="0" w:color="auto"/>
              <w:left w:val="single" w:sz="12" w:space="0" w:color="auto"/>
              <w:bottom w:val="single" w:sz="12" w:space="0" w:color="auto"/>
              <w:right w:val="single" w:sz="18" w:space="0" w:color="auto"/>
            </w:tcBorders>
            <w:vAlign w:val="center"/>
          </w:tcPr>
          <w:p w14:paraId="6BECB377" w14:textId="77777777" w:rsidR="00AA3A5F" w:rsidRPr="006D5523" w:rsidRDefault="00AA3A5F" w:rsidP="007A68D5">
            <w:pPr>
              <w:rPr>
                <w:rFonts w:cs="Times New Roman"/>
                <w:b/>
                <w:sz w:val="20"/>
                <w:szCs w:val="20"/>
                <w:lang w:val="cs-CZ"/>
              </w:rPr>
            </w:pPr>
            <w:r w:rsidRPr="006D5523">
              <w:rPr>
                <w:rFonts w:cs="Times New Roman"/>
                <w:b/>
                <w:sz w:val="20"/>
                <w:szCs w:val="20"/>
                <w:lang w:val="cs-CZ"/>
              </w:rPr>
              <w:t>CELKEM</w:t>
            </w:r>
          </w:p>
        </w:tc>
      </w:tr>
      <w:tr w:rsidR="00AA3A5F" w:rsidRPr="006D5523" w14:paraId="594FBFAB" w14:textId="77777777" w:rsidTr="007A68D5">
        <w:trPr>
          <w:trHeight w:val="309"/>
        </w:trPr>
        <w:tc>
          <w:tcPr>
            <w:tcW w:w="1590" w:type="dxa"/>
            <w:tcBorders>
              <w:top w:val="single" w:sz="12" w:space="0" w:color="auto"/>
              <w:left w:val="single" w:sz="18" w:space="0" w:color="auto"/>
              <w:right w:val="single" w:sz="12" w:space="0" w:color="auto"/>
            </w:tcBorders>
            <w:noWrap/>
            <w:tcMar>
              <w:top w:w="0" w:type="dxa"/>
              <w:left w:w="70" w:type="dxa"/>
              <w:bottom w:w="0" w:type="dxa"/>
              <w:right w:w="70" w:type="dxa"/>
            </w:tcMar>
            <w:vAlign w:val="center"/>
            <w:hideMark/>
          </w:tcPr>
          <w:p w14:paraId="12D7611C" w14:textId="77777777" w:rsidR="00AA3A5F" w:rsidRPr="006D5523" w:rsidRDefault="00AA3A5F" w:rsidP="007A68D5">
            <w:pPr>
              <w:rPr>
                <w:rFonts w:cs="Times New Roman"/>
                <w:sz w:val="20"/>
                <w:szCs w:val="20"/>
                <w:lang w:val="cs-CZ"/>
              </w:rPr>
            </w:pPr>
            <w:r w:rsidRPr="006D5523">
              <w:rPr>
                <w:rFonts w:cs="Times New Roman"/>
                <w:sz w:val="20"/>
                <w:szCs w:val="20"/>
                <w:lang w:val="cs-CZ"/>
              </w:rPr>
              <w:t>2013/2014</w:t>
            </w:r>
          </w:p>
        </w:tc>
        <w:tc>
          <w:tcPr>
            <w:tcW w:w="1544" w:type="dxa"/>
            <w:tcBorders>
              <w:top w:val="single" w:sz="12" w:space="0" w:color="auto"/>
              <w:left w:val="single" w:sz="12" w:space="0" w:color="auto"/>
              <w:right w:val="single" w:sz="6" w:space="0" w:color="auto"/>
            </w:tcBorders>
            <w:shd w:val="clear" w:color="auto" w:fill="FFFFFF"/>
            <w:noWrap/>
            <w:tcMar>
              <w:top w:w="0" w:type="dxa"/>
              <w:left w:w="70" w:type="dxa"/>
              <w:bottom w:w="0" w:type="dxa"/>
              <w:right w:w="70" w:type="dxa"/>
            </w:tcMar>
            <w:vAlign w:val="center"/>
            <w:hideMark/>
          </w:tcPr>
          <w:p w14:paraId="6BB523D8"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216</w:t>
            </w:r>
          </w:p>
        </w:tc>
        <w:tc>
          <w:tcPr>
            <w:tcW w:w="1213" w:type="dxa"/>
            <w:tcBorders>
              <w:top w:val="single" w:sz="12" w:space="0" w:color="auto"/>
              <w:left w:val="single" w:sz="6" w:space="0" w:color="auto"/>
              <w:right w:val="single" w:sz="6" w:space="0" w:color="auto"/>
            </w:tcBorders>
            <w:shd w:val="clear" w:color="auto" w:fill="FFFFFF"/>
            <w:noWrap/>
            <w:tcMar>
              <w:top w:w="0" w:type="dxa"/>
              <w:left w:w="70" w:type="dxa"/>
              <w:bottom w:w="0" w:type="dxa"/>
              <w:right w:w="70" w:type="dxa"/>
            </w:tcMar>
            <w:vAlign w:val="center"/>
            <w:hideMark/>
          </w:tcPr>
          <w:p w14:paraId="1F2D09E9"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0</w:t>
            </w:r>
          </w:p>
        </w:tc>
        <w:tc>
          <w:tcPr>
            <w:tcW w:w="1525" w:type="dxa"/>
            <w:tcBorders>
              <w:top w:val="single" w:sz="12" w:space="0" w:color="auto"/>
              <w:left w:val="single" w:sz="6" w:space="0" w:color="auto"/>
              <w:right w:val="single" w:sz="6" w:space="0" w:color="auto"/>
            </w:tcBorders>
            <w:shd w:val="clear" w:color="auto" w:fill="FFFFFF"/>
            <w:noWrap/>
            <w:tcMar>
              <w:top w:w="0" w:type="dxa"/>
              <w:left w:w="70" w:type="dxa"/>
              <w:bottom w:w="0" w:type="dxa"/>
              <w:right w:w="70" w:type="dxa"/>
            </w:tcMar>
            <w:vAlign w:val="center"/>
          </w:tcPr>
          <w:p w14:paraId="1DE1ED9D"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263</w:t>
            </w:r>
          </w:p>
        </w:tc>
        <w:tc>
          <w:tcPr>
            <w:tcW w:w="2081" w:type="dxa"/>
            <w:tcBorders>
              <w:top w:val="single" w:sz="12" w:space="0" w:color="auto"/>
              <w:left w:val="single" w:sz="6" w:space="0" w:color="auto"/>
              <w:right w:val="single" w:sz="12" w:space="0" w:color="auto"/>
            </w:tcBorders>
            <w:shd w:val="clear" w:color="auto" w:fill="FFFFFF"/>
            <w:vAlign w:val="center"/>
          </w:tcPr>
          <w:p w14:paraId="7F655BD3"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w:t>
            </w:r>
          </w:p>
        </w:tc>
        <w:tc>
          <w:tcPr>
            <w:tcW w:w="1345" w:type="dxa"/>
            <w:tcBorders>
              <w:top w:val="single" w:sz="12" w:space="0" w:color="auto"/>
              <w:left w:val="single" w:sz="12" w:space="0" w:color="auto"/>
              <w:right w:val="single" w:sz="18" w:space="0" w:color="auto"/>
            </w:tcBorders>
            <w:shd w:val="clear" w:color="auto" w:fill="FFFFFF"/>
          </w:tcPr>
          <w:p w14:paraId="6E80ABE7" w14:textId="77777777" w:rsidR="00AA3A5F" w:rsidRPr="006D5523" w:rsidRDefault="00AA3A5F" w:rsidP="007A68D5">
            <w:pPr>
              <w:jc w:val="center"/>
              <w:rPr>
                <w:rFonts w:cs="Times New Roman"/>
                <w:b/>
                <w:sz w:val="20"/>
                <w:szCs w:val="20"/>
                <w:lang w:val="cs-CZ"/>
              </w:rPr>
            </w:pPr>
            <w:r w:rsidRPr="006D5523">
              <w:rPr>
                <w:rFonts w:cs="Times New Roman"/>
                <w:b/>
                <w:sz w:val="20"/>
                <w:szCs w:val="20"/>
                <w:lang w:val="cs-CZ"/>
              </w:rPr>
              <w:t>479</w:t>
            </w:r>
          </w:p>
        </w:tc>
      </w:tr>
      <w:tr w:rsidR="00AA3A5F" w:rsidRPr="006D5523" w14:paraId="4280F97D" w14:textId="77777777" w:rsidTr="007A68D5">
        <w:trPr>
          <w:trHeight w:val="309"/>
        </w:trPr>
        <w:tc>
          <w:tcPr>
            <w:tcW w:w="1590" w:type="dxa"/>
            <w:tcBorders>
              <w:top w:val="single" w:sz="6" w:space="0" w:color="auto"/>
              <w:left w:val="single" w:sz="18" w:space="0" w:color="auto"/>
              <w:right w:val="single" w:sz="12" w:space="0" w:color="auto"/>
            </w:tcBorders>
            <w:noWrap/>
            <w:tcMar>
              <w:top w:w="0" w:type="dxa"/>
              <w:left w:w="70" w:type="dxa"/>
              <w:bottom w:w="0" w:type="dxa"/>
              <w:right w:w="70" w:type="dxa"/>
            </w:tcMar>
            <w:vAlign w:val="center"/>
            <w:hideMark/>
          </w:tcPr>
          <w:p w14:paraId="6378DB9C" w14:textId="77777777" w:rsidR="00AA3A5F" w:rsidRPr="006D5523" w:rsidRDefault="00AA3A5F" w:rsidP="007A68D5">
            <w:pPr>
              <w:rPr>
                <w:rFonts w:cs="Times New Roman"/>
                <w:sz w:val="20"/>
                <w:szCs w:val="20"/>
                <w:lang w:val="cs-CZ"/>
              </w:rPr>
            </w:pPr>
            <w:r w:rsidRPr="006D5523">
              <w:rPr>
                <w:rFonts w:cs="Times New Roman"/>
                <w:sz w:val="20"/>
                <w:szCs w:val="20"/>
                <w:lang w:val="cs-CZ"/>
              </w:rPr>
              <w:t>2014/2015</w:t>
            </w:r>
          </w:p>
        </w:tc>
        <w:tc>
          <w:tcPr>
            <w:tcW w:w="1544" w:type="dxa"/>
            <w:tcBorders>
              <w:top w:val="single" w:sz="6" w:space="0" w:color="auto"/>
              <w:left w:val="single" w:sz="12" w:space="0" w:color="auto"/>
              <w:right w:val="single" w:sz="6" w:space="0" w:color="auto"/>
            </w:tcBorders>
            <w:shd w:val="clear" w:color="auto" w:fill="FFFFFF"/>
            <w:noWrap/>
            <w:tcMar>
              <w:top w:w="0" w:type="dxa"/>
              <w:left w:w="70" w:type="dxa"/>
              <w:bottom w:w="0" w:type="dxa"/>
              <w:right w:w="70" w:type="dxa"/>
            </w:tcMar>
            <w:vAlign w:val="center"/>
          </w:tcPr>
          <w:p w14:paraId="2E8DDD5E"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3</w:t>
            </w:r>
          </w:p>
        </w:tc>
        <w:tc>
          <w:tcPr>
            <w:tcW w:w="1213" w:type="dxa"/>
            <w:tcBorders>
              <w:top w:val="single" w:sz="6" w:space="0" w:color="auto"/>
              <w:left w:val="single" w:sz="6" w:space="0" w:color="auto"/>
              <w:right w:val="single" w:sz="6" w:space="0" w:color="auto"/>
            </w:tcBorders>
            <w:shd w:val="clear" w:color="auto" w:fill="FFFFFF"/>
            <w:noWrap/>
            <w:tcMar>
              <w:top w:w="0" w:type="dxa"/>
              <w:left w:w="70" w:type="dxa"/>
              <w:bottom w:w="0" w:type="dxa"/>
              <w:right w:w="70" w:type="dxa"/>
            </w:tcMar>
            <w:vAlign w:val="center"/>
          </w:tcPr>
          <w:p w14:paraId="137235FE"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0</w:t>
            </w:r>
          </w:p>
        </w:tc>
        <w:tc>
          <w:tcPr>
            <w:tcW w:w="1525" w:type="dxa"/>
            <w:tcBorders>
              <w:top w:val="single" w:sz="6" w:space="0" w:color="auto"/>
              <w:left w:val="single" w:sz="6" w:space="0" w:color="auto"/>
              <w:right w:val="single" w:sz="6" w:space="0" w:color="auto"/>
            </w:tcBorders>
            <w:shd w:val="clear" w:color="auto" w:fill="FFFFFF"/>
            <w:noWrap/>
            <w:tcMar>
              <w:top w:w="0" w:type="dxa"/>
              <w:left w:w="70" w:type="dxa"/>
              <w:bottom w:w="0" w:type="dxa"/>
              <w:right w:w="70" w:type="dxa"/>
            </w:tcMar>
            <w:vAlign w:val="center"/>
          </w:tcPr>
          <w:p w14:paraId="1F8E18C2"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259</w:t>
            </w:r>
          </w:p>
        </w:tc>
        <w:tc>
          <w:tcPr>
            <w:tcW w:w="2081" w:type="dxa"/>
            <w:tcBorders>
              <w:top w:val="single" w:sz="6" w:space="0" w:color="auto"/>
              <w:left w:val="single" w:sz="6" w:space="0" w:color="auto"/>
              <w:right w:val="single" w:sz="12" w:space="0" w:color="auto"/>
            </w:tcBorders>
            <w:shd w:val="clear" w:color="auto" w:fill="FFFFFF"/>
            <w:vAlign w:val="center"/>
          </w:tcPr>
          <w:p w14:paraId="295888E5"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w:t>
            </w:r>
          </w:p>
        </w:tc>
        <w:tc>
          <w:tcPr>
            <w:tcW w:w="1345" w:type="dxa"/>
            <w:tcBorders>
              <w:top w:val="single" w:sz="6" w:space="0" w:color="auto"/>
              <w:left w:val="single" w:sz="12" w:space="0" w:color="auto"/>
              <w:right w:val="single" w:sz="18" w:space="0" w:color="auto"/>
            </w:tcBorders>
            <w:shd w:val="clear" w:color="auto" w:fill="FFFFFF"/>
          </w:tcPr>
          <w:p w14:paraId="4488786E" w14:textId="77777777" w:rsidR="00AA3A5F" w:rsidRPr="006D5523" w:rsidRDefault="00AA3A5F" w:rsidP="007A68D5">
            <w:pPr>
              <w:jc w:val="center"/>
              <w:rPr>
                <w:rFonts w:cs="Times New Roman"/>
                <w:b/>
                <w:sz w:val="20"/>
                <w:szCs w:val="20"/>
                <w:lang w:val="cs-CZ"/>
              </w:rPr>
            </w:pPr>
            <w:r w:rsidRPr="006D5523">
              <w:rPr>
                <w:rFonts w:cs="Times New Roman"/>
                <w:b/>
                <w:sz w:val="20"/>
                <w:szCs w:val="20"/>
                <w:lang w:val="cs-CZ"/>
              </w:rPr>
              <w:t>262</w:t>
            </w:r>
          </w:p>
        </w:tc>
      </w:tr>
      <w:tr w:rsidR="00AA3A5F" w:rsidRPr="006D5523" w14:paraId="7F39BC1D" w14:textId="77777777" w:rsidTr="007A68D5">
        <w:trPr>
          <w:trHeight w:val="309"/>
        </w:trPr>
        <w:tc>
          <w:tcPr>
            <w:tcW w:w="1590" w:type="dxa"/>
            <w:tcBorders>
              <w:top w:val="single" w:sz="6" w:space="0" w:color="auto"/>
              <w:left w:val="single" w:sz="18" w:space="0" w:color="auto"/>
              <w:right w:val="single" w:sz="12" w:space="0" w:color="auto"/>
            </w:tcBorders>
            <w:noWrap/>
            <w:tcMar>
              <w:top w:w="0" w:type="dxa"/>
              <w:left w:w="70" w:type="dxa"/>
              <w:bottom w:w="0" w:type="dxa"/>
              <w:right w:w="70" w:type="dxa"/>
            </w:tcMar>
            <w:vAlign w:val="center"/>
            <w:hideMark/>
          </w:tcPr>
          <w:p w14:paraId="68F00EF8" w14:textId="77777777" w:rsidR="00AA3A5F" w:rsidRPr="006D5523" w:rsidRDefault="00AA3A5F" w:rsidP="007A68D5">
            <w:pPr>
              <w:rPr>
                <w:rFonts w:cs="Times New Roman"/>
                <w:sz w:val="20"/>
                <w:szCs w:val="20"/>
                <w:lang w:val="cs-CZ"/>
              </w:rPr>
            </w:pPr>
            <w:r w:rsidRPr="006D5523">
              <w:rPr>
                <w:rFonts w:cs="Times New Roman"/>
                <w:sz w:val="20"/>
                <w:szCs w:val="20"/>
                <w:lang w:val="cs-CZ"/>
              </w:rPr>
              <w:t>2015/2016</w:t>
            </w:r>
          </w:p>
        </w:tc>
        <w:tc>
          <w:tcPr>
            <w:tcW w:w="1544" w:type="dxa"/>
            <w:tcBorders>
              <w:top w:val="single" w:sz="6" w:space="0" w:color="auto"/>
              <w:left w:val="single" w:sz="12" w:space="0" w:color="auto"/>
              <w:right w:val="single" w:sz="6" w:space="0" w:color="auto"/>
            </w:tcBorders>
            <w:shd w:val="clear" w:color="auto" w:fill="FFFFFF"/>
            <w:noWrap/>
            <w:tcMar>
              <w:top w:w="0" w:type="dxa"/>
              <w:left w:w="70" w:type="dxa"/>
              <w:bottom w:w="0" w:type="dxa"/>
              <w:right w:w="70" w:type="dxa"/>
            </w:tcMar>
            <w:vAlign w:val="center"/>
          </w:tcPr>
          <w:p w14:paraId="5C7B22C6"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15</w:t>
            </w:r>
          </w:p>
        </w:tc>
        <w:tc>
          <w:tcPr>
            <w:tcW w:w="1213" w:type="dxa"/>
            <w:tcBorders>
              <w:top w:val="single" w:sz="6" w:space="0" w:color="auto"/>
              <w:left w:val="single" w:sz="6" w:space="0" w:color="auto"/>
              <w:right w:val="single" w:sz="6" w:space="0" w:color="auto"/>
            </w:tcBorders>
            <w:shd w:val="clear" w:color="auto" w:fill="FFFFFF"/>
            <w:noWrap/>
            <w:tcMar>
              <w:top w:w="0" w:type="dxa"/>
              <w:left w:w="70" w:type="dxa"/>
              <w:bottom w:w="0" w:type="dxa"/>
              <w:right w:w="70" w:type="dxa"/>
            </w:tcMar>
            <w:vAlign w:val="center"/>
          </w:tcPr>
          <w:p w14:paraId="7AF1E83B"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0</w:t>
            </w:r>
          </w:p>
        </w:tc>
        <w:tc>
          <w:tcPr>
            <w:tcW w:w="1525" w:type="dxa"/>
            <w:tcBorders>
              <w:top w:val="single" w:sz="6" w:space="0" w:color="auto"/>
              <w:left w:val="single" w:sz="6" w:space="0" w:color="auto"/>
              <w:right w:val="single" w:sz="6" w:space="0" w:color="auto"/>
            </w:tcBorders>
            <w:shd w:val="clear" w:color="auto" w:fill="FFFFFF"/>
            <w:noWrap/>
            <w:tcMar>
              <w:top w:w="0" w:type="dxa"/>
              <w:left w:w="70" w:type="dxa"/>
              <w:bottom w:w="0" w:type="dxa"/>
              <w:right w:w="70" w:type="dxa"/>
            </w:tcMar>
            <w:vAlign w:val="center"/>
          </w:tcPr>
          <w:p w14:paraId="2D672BA0"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284</w:t>
            </w:r>
          </w:p>
        </w:tc>
        <w:tc>
          <w:tcPr>
            <w:tcW w:w="2081" w:type="dxa"/>
            <w:tcBorders>
              <w:top w:val="single" w:sz="6" w:space="0" w:color="auto"/>
              <w:left w:val="single" w:sz="6" w:space="0" w:color="auto"/>
              <w:right w:val="single" w:sz="12" w:space="0" w:color="auto"/>
            </w:tcBorders>
            <w:shd w:val="clear" w:color="auto" w:fill="FFFFFF"/>
            <w:vAlign w:val="center"/>
          </w:tcPr>
          <w:p w14:paraId="6A016D44"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w:t>
            </w:r>
          </w:p>
        </w:tc>
        <w:tc>
          <w:tcPr>
            <w:tcW w:w="1345" w:type="dxa"/>
            <w:tcBorders>
              <w:top w:val="single" w:sz="6" w:space="0" w:color="auto"/>
              <w:left w:val="single" w:sz="12" w:space="0" w:color="auto"/>
              <w:right w:val="single" w:sz="18" w:space="0" w:color="auto"/>
            </w:tcBorders>
            <w:shd w:val="clear" w:color="auto" w:fill="FFFFFF"/>
          </w:tcPr>
          <w:p w14:paraId="53C9C93B" w14:textId="77777777" w:rsidR="00AA3A5F" w:rsidRPr="006D5523" w:rsidRDefault="00AA3A5F" w:rsidP="007A68D5">
            <w:pPr>
              <w:jc w:val="center"/>
              <w:rPr>
                <w:rFonts w:cs="Times New Roman"/>
                <w:b/>
                <w:sz w:val="20"/>
                <w:szCs w:val="20"/>
                <w:lang w:val="cs-CZ"/>
              </w:rPr>
            </w:pPr>
            <w:r w:rsidRPr="006D5523">
              <w:rPr>
                <w:rFonts w:cs="Times New Roman"/>
                <w:b/>
                <w:sz w:val="20"/>
                <w:szCs w:val="20"/>
                <w:lang w:val="cs-CZ"/>
              </w:rPr>
              <w:t>299</w:t>
            </w:r>
          </w:p>
        </w:tc>
      </w:tr>
      <w:tr w:rsidR="00AA3A5F" w:rsidRPr="006D5523" w14:paraId="3EF8D50B" w14:textId="77777777" w:rsidTr="007A68D5">
        <w:trPr>
          <w:trHeight w:val="309"/>
        </w:trPr>
        <w:tc>
          <w:tcPr>
            <w:tcW w:w="1590" w:type="dxa"/>
            <w:tcBorders>
              <w:top w:val="single" w:sz="6" w:space="0" w:color="auto"/>
              <w:left w:val="single" w:sz="18" w:space="0" w:color="auto"/>
              <w:right w:val="single" w:sz="12" w:space="0" w:color="auto"/>
            </w:tcBorders>
            <w:noWrap/>
            <w:tcMar>
              <w:top w:w="0" w:type="dxa"/>
              <w:left w:w="70" w:type="dxa"/>
              <w:bottom w:w="0" w:type="dxa"/>
              <w:right w:w="70" w:type="dxa"/>
            </w:tcMar>
            <w:vAlign w:val="center"/>
            <w:hideMark/>
          </w:tcPr>
          <w:p w14:paraId="64F2A303" w14:textId="77777777" w:rsidR="00AA3A5F" w:rsidRPr="006D5523" w:rsidRDefault="00AA3A5F" w:rsidP="007A68D5">
            <w:pPr>
              <w:rPr>
                <w:rFonts w:cs="Times New Roman"/>
                <w:sz w:val="20"/>
                <w:szCs w:val="20"/>
                <w:lang w:val="cs-CZ"/>
              </w:rPr>
            </w:pPr>
            <w:r w:rsidRPr="006D5523">
              <w:rPr>
                <w:rFonts w:cs="Times New Roman"/>
                <w:sz w:val="20"/>
                <w:szCs w:val="20"/>
                <w:lang w:val="cs-CZ"/>
              </w:rPr>
              <w:t>2016/2017</w:t>
            </w:r>
          </w:p>
        </w:tc>
        <w:tc>
          <w:tcPr>
            <w:tcW w:w="1544" w:type="dxa"/>
            <w:tcBorders>
              <w:top w:val="single" w:sz="6" w:space="0" w:color="auto"/>
              <w:left w:val="single" w:sz="12" w:space="0" w:color="auto"/>
              <w:right w:val="single" w:sz="6" w:space="0" w:color="auto"/>
            </w:tcBorders>
            <w:shd w:val="clear" w:color="auto" w:fill="FFFFFF"/>
            <w:noWrap/>
            <w:tcMar>
              <w:top w:w="0" w:type="dxa"/>
              <w:left w:w="70" w:type="dxa"/>
              <w:bottom w:w="0" w:type="dxa"/>
              <w:right w:w="70" w:type="dxa"/>
            </w:tcMar>
            <w:vAlign w:val="center"/>
          </w:tcPr>
          <w:p w14:paraId="4B649B4E"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w:t>
            </w:r>
          </w:p>
        </w:tc>
        <w:tc>
          <w:tcPr>
            <w:tcW w:w="1213" w:type="dxa"/>
            <w:tcBorders>
              <w:top w:val="single" w:sz="6" w:space="0" w:color="auto"/>
              <w:left w:val="single" w:sz="6" w:space="0" w:color="auto"/>
              <w:right w:val="single" w:sz="6" w:space="0" w:color="auto"/>
            </w:tcBorders>
            <w:shd w:val="clear" w:color="auto" w:fill="FFFFFF"/>
            <w:noWrap/>
            <w:tcMar>
              <w:top w:w="0" w:type="dxa"/>
              <w:left w:w="70" w:type="dxa"/>
              <w:bottom w:w="0" w:type="dxa"/>
              <w:right w:w="70" w:type="dxa"/>
            </w:tcMar>
            <w:vAlign w:val="center"/>
          </w:tcPr>
          <w:p w14:paraId="6DA6EAC8"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0</w:t>
            </w:r>
          </w:p>
        </w:tc>
        <w:tc>
          <w:tcPr>
            <w:tcW w:w="1525" w:type="dxa"/>
            <w:tcBorders>
              <w:top w:val="single" w:sz="6" w:space="0" w:color="auto"/>
              <w:left w:val="single" w:sz="6" w:space="0" w:color="auto"/>
              <w:right w:val="single" w:sz="6" w:space="0" w:color="auto"/>
            </w:tcBorders>
            <w:shd w:val="clear" w:color="auto" w:fill="FFFFFF"/>
            <w:noWrap/>
            <w:tcMar>
              <w:top w:w="0" w:type="dxa"/>
              <w:left w:w="70" w:type="dxa"/>
              <w:bottom w:w="0" w:type="dxa"/>
              <w:right w:w="70" w:type="dxa"/>
            </w:tcMar>
            <w:vAlign w:val="center"/>
          </w:tcPr>
          <w:p w14:paraId="3789E6A1"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273</w:t>
            </w:r>
          </w:p>
        </w:tc>
        <w:tc>
          <w:tcPr>
            <w:tcW w:w="2081" w:type="dxa"/>
            <w:tcBorders>
              <w:top w:val="single" w:sz="6" w:space="0" w:color="auto"/>
              <w:left w:val="single" w:sz="6" w:space="0" w:color="auto"/>
              <w:right w:val="single" w:sz="12" w:space="0" w:color="auto"/>
            </w:tcBorders>
            <w:shd w:val="clear" w:color="auto" w:fill="FFFFFF"/>
            <w:vAlign w:val="center"/>
          </w:tcPr>
          <w:p w14:paraId="40617E96"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14</w:t>
            </w:r>
          </w:p>
        </w:tc>
        <w:tc>
          <w:tcPr>
            <w:tcW w:w="1345" w:type="dxa"/>
            <w:tcBorders>
              <w:top w:val="single" w:sz="6" w:space="0" w:color="auto"/>
              <w:left w:val="single" w:sz="12" w:space="0" w:color="auto"/>
              <w:right w:val="single" w:sz="18" w:space="0" w:color="auto"/>
            </w:tcBorders>
            <w:shd w:val="clear" w:color="auto" w:fill="FFFFFF"/>
          </w:tcPr>
          <w:p w14:paraId="774220FF" w14:textId="77777777" w:rsidR="00AA3A5F" w:rsidRPr="006D5523" w:rsidRDefault="00AA3A5F" w:rsidP="007A68D5">
            <w:pPr>
              <w:jc w:val="center"/>
              <w:rPr>
                <w:rFonts w:cs="Times New Roman"/>
                <w:b/>
                <w:sz w:val="20"/>
                <w:szCs w:val="20"/>
                <w:lang w:val="cs-CZ"/>
              </w:rPr>
            </w:pPr>
            <w:r w:rsidRPr="006D5523">
              <w:rPr>
                <w:rFonts w:cs="Times New Roman"/>
                <w:b/>
                <w:sz w:val="20"/>
                <w:szCs w:val="20"/>
                <w:lang w:val="cs-CZ"/>
              </w:rPr>
              <w:t>287</w:t>
            </w:r>
          </w:p>
        </w:tc>
      </w:tr>
      <w:tr w:rsidR="00AA3A5F" w:rsidRPr="006D5523" w14:paraId="28073EA7" w14:textId="77777777" w:rsidTr="007A68D5">
        <w:trPr>
          <w:trHeight w:val="309"/>
        </w:trPr>
        <w:tc>
          <w:tcPr>
            <w:tcW w:w="1590" w:type="dxa"/>
            <w:tcBorders>
              <w:top w:val="single" w:sz="6" w:space="0" w:color="auto"/>
              <w:left w:val="single" w:sz="18" w:space="0" w:color="auto"/>
              <w:bottom w:val="single" w:sz="12" w:space="0" w:color="auto"/>
              <w:right w:val="single" w:sz="12" w:space="0" w:color="auto"/>
            </w:tcBorders>
            <w:noWrap/>
            <w:tcMar>
              <w:top w:w="0" w:type="dxa"/>
              <w:left w:w="70" w:type="dxa"/>
              <w:bottom w:w="0" w:type="dxa"/>
              <w:right w:w="70" w:type="dxa"/>
            </w:tcMar>
            <w:vAlign w:val="center"/>
          </w:tcPr>
          <w:p w14:paraId="6B11CAF4" w14:textId="77777777" w:rsidR="00AA3A5F" w:rsidRPr="006D5523" w:rsidRDefault="00AA3A5F" w:rsidP="007A68D5">
            <w:pPr>
              <w:rPr>
                <w:rFonts w:cs="Times New Roman"/>
                <w:sz w:val="20"/>
                <w:szCs w:val="20"/>
                <w:lang w:val="cs-CZ"/>
              </w:rPr>
            </w:pPr>
            <w:r w:rsidRPr="006D5523">
              <w:rPr>
                <w:rFonts w:cs="Times New Roman"/>
                <w:sz w:val="20"/>
                <w:szCs w:val="20"/>
                <w:lang w:val="cs-CZ"/>
              </w:rPr>
              <w:t>2017/2018</w:t>
            </w:r>
          </w:p>
        </w:tc>
        <w:tc>
          <w:tcPr>
            <w:tcW w:w="1544" w:type="dxa"/>
            <w:tcBorders>
              <w:top w:val="single" w:sz="6" w:space="0" w:color="auto"/>
              <w:left w:val="single" w:sz="12" w:space="0" w:color="auto"/>
              <w:bottom w:val="single" w:sz="12" w:space="0" w:color="auto"/>
              <w:right w:val="single" w:sz="6" w:space="0" w:color="auto"/>
            </w:tcBorders>
            <w:shd w:val="clear" w:color="auto" w:fill="FFFFFF"/>
            <w:noWrap/>
            <w:tcMar>
              <w:top w:w="0" w:type="dxa"/>
              <w:left w:w="70" w:type="dxa"/>
              <w:bottom w:w="0" w:type="dxa"/>
              <w:right w:w="70" w:type="dxa"/>
            </w:tcMar>
            <w:vAlign w:val="center"/>
          </w:tcPr>
          <w:p w14:paraId="24A3E92E"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w:t>
            </w:r>
          </w:p>
        </w:tc>
        <w:tc>
          <w:tcPr>
            <w:tcW w:w="1213" w:type="dxa"/>
            <w:tcBorders>
              <w:top w:val="single" w:sz="6" w:space="0" w:color="auto"/>
              <w:left w:val="single" w:sz="6" w:space="0" w:color="auto"/>
              <w:bottom w:val="single" w:sz="12" w:space="0" w:color="auto"/>
              <w:right w:val="single" w:sz="6" w:space="0" w:color="auto"/>
            </w:tcBorders>
            <w:shd w:val="clear" w:color="auto" w:fill="FFFFFF"/>
            <w:noWrap/>
            <w:tcMar>
              <w:top w:w="0" w:type="dxa"/>
              <w:left w:w="70" w:type="dxa"/>
              <w:bottom w:w="0" w:type="dxa"/>
              <w:right w:w="70" w:type="dxa"/>
            </w:tcMar>
            <w:vAlign w:val="center"/>
          </w:tcPr>
          <w:p w14:paraId="3F354AF9"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0</w:t>
            </w:r>
          </w:p>
        </w:tc>
        <w:tc>
          <w:tcPr>
            <w:tcW w:w="1525" w:type="dxa"/>
            <w:tcBorders>
              <w:top w:val="single" w:sz="6" w:space="0" w:color="auto"/>
              <w:left w:val="single" w:sz="6" w:space="0" w:color="auto"/>
              <w:bottom w:val="single" w:sz="12" w:space="0" w:color="auto"/>
              <w:right w:val="single" w:sz="6" w:space="0" w:color="auto"/>
            </w:tcBorders>
            <w:shd w:val="clear" w:color="auto" w:fill="FFFFFF"/>
            <w:noWrap/>
            <w:tcMar>
              <w:top w:w="0" w:type="dxa"/>
              <w:left w:w="70" w:type="dxa"/>
              <w:bottom w:w="0" w:type="dxa"/>
              <w:right w:w="70" w:type="dxa"/>
            </w:tcMar>
            <w:vAlign w:val="center"/>
          </w:tcPr>
          <w:p w14:paraId="7A8A144F"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238</w:t>
            </w:r>
          </w:p>
        </w:tc>
        <w:tc>
          <w:tcPr>
            <w:tcW w:w="2081" w:type="dxa"/>
            <w:tcBorders>
              <w:top w:val="single" w:sz="6" w:space="0" w:color="auto"/>
              <w:left w:val="single" w:sz="6" w:space="0" w:color="auto"/>
              <w:bottom w:val="single" w:sz="12" w:space="0" w:color="auto"/>
              <w:right w:val="single" w:sz="12" w:space="0" w:color="auto"/>
            </w:tcBorders>
            <w:shd w:val="clear" w:color="auto" w:fill="FFFFFF"/>
            <w:vAlign w:val="center"/>
          </w:tcPr>
          <w:p w14:paraId="1E3A2372"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22</w:t>
            </w:r>
          </w:p>
        </w:tc>
        <w:tc>
          <w:tcPr>
            <w:tcW w:w="1345" w:type="dxa"/>
            <w:tcBorders>
              <w:top w:val="single" w:sz="6" w:space="0" w:color="auto"/>
              <w:left w:val="single" w:sz="12" w:space="0" w:color="auto"/>
              <w:bottom w:val="single" w:sz="12" w:space="0" w:color="auto"/>
              <w:right w:val="single" w:sz="18" w:space="0" w:color="auto"/>
            </w:tcBorders>
            <w:shd w:val="clear" w:color="auto" w:fill="FFFFFF"/>
          </w:tcPr>
          <w:p w14:paraId="376E92EC" w14:textId="77777777" w:rsidR="00AA3A5F" w:rsidRPr="006D5523" w:rsidRDefault="00AA3A5F" w:rsidP="007A68D5">
            <w:pPr>
              <w:jc w:val="center"/>
              <w:rPr>
                <w:rFonts w:cs="Times New Roman"/>
                <w:b/>
                <w:sz w:val="20"/>
                <w:szCs w:val="20"/>
                <w:lang w:val="cs-CZ"/>
              </w:rPr>
            </w:pPr>
            <w:r w:rsidRPr="006D5523">
              <w:rPr>
                <w:rFonts w:cs="Times New Roman"/>
                <w:b/>
                <w:sz w:val="20"/>
                <w:szCs w:val="20"/>
                <w:lang w:val="cs-CZ"/>
              </w:rPr>
              <w:t>260</w:t>
            </w:r>
          </w:p>
        </w:tc>
      </w:tr>
      <w:tr w:rsidR="00AA3A5F" w:rsidRPr="006D5523" w14:paraId="44E47356" w14:textId="77777777" w:rsidTr="007A68D5">
        <w:trPr>
          <w:trHeight w:val="309"/>
        </w:trPr>
        <w:tc>
          <w:tcPr>
            <w:tcW w:w="1590" w:type="dxa"/>
            <w:tcBorders>
              <w:top w:val="single" w:sz="6" w:space="0" w:color="auto"/>
              <w:left w:val="single" w:sz="18" w:space="0" w:color="auto"/>
              <w:bottom w:val="single" w:sz="12" w:space="0" w:color="auto"/>
              <w:right w:val="single" w:sz="12" w:space="0" w:color="auto"/>
            </w:tcBorders>
            <w:noWrap/>
            <w:tcMar>
              <w:top w:w="0" w:type="dxa"/>
              <w:left w:w="70" w:type="dxa"/>
              <w:bottom w:w="0" w:type="dxa"/>
              <w:right w:w="70" w:type="dxa"/>
            </w:tcMar>
            <w:vAlign w:val="center"/>
          </w:tcPr>
          <w:p w14:paraId="38FB5B1E" w14:textId="77777777" w:rsidR="00AA3A5F" w:rsidRPr="006D5523" w:rsidRDefault="00AA3A5F" w:rsidP="007A68D5">
            <w:pPr>
              <w:rPr>
                <w:rFonts w:cs="Times New Roman"/>
                <w:sz w:val="20"/>
                <w:szCs w:val="20"/>
                <w:lang w:val="cs-CZ"/>
              </w:rPr>
            </w:pPr>
            <w:r w:rsidRPr="006D5523">
              <w:rPr>
                <w:rFonts w:cs="Times New Roman"/>
                <w:sz w:val="20"/>
                <w:szCs w:val="20"/>
                <w:lang w:val="cs-CZ"/>
              </w:rPr>
              <w:t>2018/19</w:t>
            </w:r>
          </w:p>
        </w:tc>
        <w:tc>
          <w:tcPr>
            <w:tcW w:w="1544" w:type="dxa"/>
            <w:tcBorders>
              <w:top w:val="single" w:sz="6" w:space="0" w:color="auto"/>
              <w:left w:val="single" w:sz="12" w:space="0" w:color="auto"/>
              <w:bottom w:val="single" w:sz="12" w:space="0" w:color="auto"/>
              <w:right w:val="single" w:sz="6" w:space="0" w:color="auto"/>
            </w:tcBorders>
            <w:shd w:val="clear" w:color="auto" w:fill="FFFFFF"/>
            <w:noWrap/>
            <w:tcMar>
              <w:top w:w="0" w:type="dxa"/>
              <w:left w:w="70" w:type="dxa"/>
              <w:bottom w:w="0" w:type="dxa"/>
              <w:right w:w="70" w:type="dxa"/>
            </w:tcMar>
            <w:vAlign w:val="center"/>
          </w:tcPr>
          <w:p w14:paraId="1DE36E8F"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w:t>
            </w:r>
          </w:p>
        </w:tc>
        <w:tc>
          <w:tcPr>
            <w:tcW w:w="1213" w:type="dxa"/>
            <w:tcBorders>
              <w:top w:val="single" w:sz="6" w:space="0" w:color="auto"/>
              <w:left w:val="single" w:sz="6" w:space="0" w:color="auto"/>
              <w:bottom w:val="single" w:sz="12" w:space="0" w:color="auto"/>
              <w:right w:val="single" w:sz="6" w:space="0" w:color="auto"/>
            </w:tcBorders>
            <w:shd w:val="clear" w:color="auto" w:fill="FFFFFF"/>
            <w:noWrap/>
            <w:tcMar>
              <w:top w:w="0" w:type="dxa"/>
              <w:left w:w="70" w:type="dxa"/>
              <w:bottom w:w="0" w:type="dxa"/>
              <w:right w:w="70" w:type="dxa"/>
            </w:tcMar>
            <w:vAlign w:val="center"/>
          </w:tcPr>
          <w:p w14:paraId="39152390"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3,15</w:t>
            </w:r>
          </w:p>
        </w:tc>
        <w:tc>
          <w:tcPr>
            <w:tcW w:w="1525" w:type="dxa"/>
            <w:tcBorders>
              <w:top w:val="single" w:sz="6" w:space="0" w:color="auto"/>
              <w:left w:val="single" w:sz="6" w:space="0" w:color="auto"/>
              <w:bottom w:val="single" w:sz="12" w:space="0" w:color="auto"/>
              <w:right w:val="single" w:sz="6" w:space="0" w:color="auto"/>
            </w:tcBorders>
            <w:shd w:val="clear" w:color="auto" w:fill="FFFFFF"/>
            <w:noWrap/>
            <w:tcMar>
              <w:top w:w="0" w:type="dxa"/>
              <w:left w:w="70" w:type="dxa"/>
              <w:bottom w:w="0" w:type="dxa"/>
              <w:right w:w="70" w:type="dxa"/>
            </w:tcMar>
            <w:vAlign w:val="center"/>
          </w:tcPr>
          <w:p w14:paraId="7B022D51"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206,16</w:t>
            </w:r>
          </w:p>
        </w:tc>
        <w:tc>
          <w:tcPr>
            <w:tcW w:w="2081" w:type="dxa"/>
            <w:tcBorders>
              <w:top w:val="single" w:sz="6" w:space="0" w:color="auto"/>
              <w:left w:val="single" w:sz="6" w:space="0" w:color="auto"/>
              <w:bottom w:val="single" w:sz="12" w:space="0" w:color="auto"/>
              <w:right w:val="single" w:sz="12" w:space="0" w:color="auto"/>
            </w:tcBorders>
            <w:shd w:val="clear" w:color="auto" w:fill="FFFFFF"/>
            <w:vAlign w:val="center"/>
          </w:tcPr>
          <w:p w14:paraId="1D916CBF" w14:textId="77777777" w:rsidR="00AA3A5F" w:rsidRPr="006D5523" w:rsidRDefault="00AA3A5F" w:rsidP="007A68D5">
            <w:pPr>
              <w:jc w:val="center"/>
              <w:rPr>
                <w:rFonts w:cs="Times New Roman"/>
                <w:sz w:val="20"/>
                <w:szCs w:val="20"/>
                <w:lang w:val="cs-CZ"/>
              </w:rPr>
            </w:pPr>
            <w:r w:rsidRPr="006D5523">
              <w:rPr>
                <w:rFonts w:cs="Times New Roman"/>
                <w:sz w:val="20"/>
                <w:szCs w:val="20"/>
                <w:lang w:val="cs-CZ"/>
              </w:rPr>
              <w:t>3,93</w:t>
            </w:r>
          </w:p>
        </w:tc>
        <w:tc>
          <w:tcPr>
            <w:tcW w:w="1345" w:type="dxa"/>
            <w:tcBorders>
              <w:top w:val="single" w:sz="6" w:space="0" w:color="auto"/>
              <w:left w:val="single" w:sz="12" w:space="0" w:color="auto"/>
              <w:bottom w:val="single" w:sz="12" w:space="0" w:color="auto"/>
              <w:right w:val="single" w:sz="18" w:space="0" w:color="auto"/>
            </w:tcBorders>
            <w:shd w:val="clear" w:color="auto" w:fill="FFFFFF"/>
          </w:tcPr>
          <w:p w14:paraId="6F0599A6" w14:textId="77777777" w:rsidR="00AA3A5F" w:rsidRPr="006D5523" w:rsidRDefault="00AA3A5F" w:rsidP="007A68D5">
            <w:pPr>
              <w:jc w:val="center"/>
              <w:rPr>
                <w:rFonts w:cs="Times New Roman"/>
                <w:b/>
                <w:sz w:val="20"/>
                <w:szCs w:val="20"/>
                <w:lang w:val="cs-CZ"/>
              </w:rPr>
            </w:pPr>
            <w:r w:rsidRPr="006D5523">
              <w:rPr>
                <w:rFonts w:cs="Times New Roman"/>
                <w:b/>
                <w:sz w:val="20"/>
                <w:szCs w:val="20"/>
                <w:lang w:val="cs-CZ"/>
              </w:rPr>
              <w:t>213,24</w:t>
            </w:r>
          </w:p>
        </w:tc>
      </w:tr>
      <w:tr w:rsidR="00AA3A5F" w:rsidRPr="006D5523" w14:paraId="0953D89D" w14:textId="77777777" w:rsidTr="007A68D5">
        <w:trPr>
          <w:trHeight w:val="309"/>
        </w:trPr>
        <w:tc>
          <w:tcPr>
            <w:tcW w:w="1590" w:type="dxa"/>
            <w:tcBorders>
              <w:top w:val="single" w:sz="12" w:space="0" w:color="auto"/>
              <w:left w:val="single" w:sz="18" w:space="0" w:color="auto"/>
              <w:bottom w:val="single" w:sz="18" w:space="0" w:color="auto"/>
              <w:right w:val="single" w:sz="12" w:space="0" w:color="auto"/>
            </w:tcBorders>
            <w:noWrap/>
            <w:tcMar>
              <w:top w:w="0" w:type="dxa"/>
              <w:left w:w="70" w:type="dxa"/>
              <w:bottom w:w="0" w:type="dxa"/>
              <w:right w:w="70" w:type="dxa"/>
            </w:tcMar>
            <w:vAlign w:val="center"/>
          </w:tcPr>
          <w:p w14:paraId="0B2971CD" w14:textId="77777777" w:rsidR="00AA3A5F" w:rsidRPr="006D5523" w:rsidRDefault="00AA3A5F" w:rsidP="007A68D5">
            <w:pPr>
              <w:rPr>
                <w:rFonts w:cs="Times New Roman"/>
                <w:b/>
                <w:sz w:val="20"/>
                <w:szCs w:val="20"/>
                <w:lang w:val="cs-CZ"/>
              </w:rPr>
            </w:pPr>
            <w:r w:rsidRPr="006D5523">
              <w:rPr>
                <w:rFonts w:cs="Times New Roman"/>
                <w:b/>
                <w:sz w:val="20"/>
                <w:szCs w:val="20"/>
                <w:lang w:val="cs-CZ"/>
              </w:rPr>
              <w:t>CELKEM</w:t>
            </w:r>
          </w:p>
        </w:tc>
        <w:tc>
          <w:tcPr>
            <w:tcW w:w="1544" w:type="dxa"/>
            <w:tcBorders>
              <w:top w:val="single" w:sz="12" w:space="0" w:color="auto"/>
              <w:left w:val="single" w:sz="12" w:space="0" w:color="auto"/>
              <w:bottom w:val="single" w:sz="18" w:space="0" w:color="auto"/>
              <w:right w:val="single" w:sz="6" w:space="0" w:color="auto"/>
            </w:tcBorders>
            <w:shd w:val="clear" w:color="auto" w:fill="FFFFFF"/>
            <w:noWrap/>
            <w:tcMar>
              <w:top w:w="0" w:type="dxa"/>
              <w:left w:w="70" w:type="dxa"/>
              <w:bottom w:w="0" w:type="dxa"/>
              <w:right w:w="70" w:type="dxa"/>
            </w:tcMar>
            <w:vAlign w:val="center"/>
          </w:tcPr>
          <w:p w14:paraId="4FFF8ADB" w14:textId="77777777" w:rsidR="00AA3A5F" w:rsidRPr="006D5523" w:rsidRDefault="00AA3A5F" w:rsidP="007A68D5">
            <w:pPr>
              <w:jc w:val="center"/>
              <w:rPr>
                <w:rFonts w:cs="Times New Roman"/>
                <w:b/>
                <w:sz w:val="20"/>
                <w:szCs w:val="20"/>
                <w:lang w:val="cs-CZ"/>
              </w:rPr>
            </w:pPr>
            <w:r w:rsidRPr="006D5523">
              <w:rPr>
                <w:rFonts w:cs="Times New Roman"/>
                <w:b/>
                <w:sz w:val="20"/>
                <w:szCs w:val="20"/>
                <w:lang w:val="cs-CZ"/>
              </w:rPr>
              <w:t>234</w:t>
            </w:r>
          </w:p>
        </w:tc>
        <w:tc>
          <w:tcPr>
            <w:tcW w:w="1213" w:type="dxa"/>
            <w:tcBorders>
              <w:top w:val="single" w:sz="12" w:space="0" w:color="auto"/>
              <w:left w:val="single" w:sz="6" w:space="0" w:color="auto"/>
              <w:bottom w:val="single" w:sz="18" w:space="0" w:color="auto"/>
              <w:right w:val="single" w:sz="6" w:space="0" w:color="auto"/>
            </w:tcBorders>
            <w:shd w:val="clear" w:color="auto" w:fill="FFFFFF"/>
            <w:noWrap/>
            <w:tcMar>
              <w:top w:w="0" w:type="dxa"/>
              <w:left w:w="70" w:type="dxa"/>
              <w:bottom w:w="0" w:type="dxa"/>
              <w:right w:w="70" w:type="dxa"/>
            </w:tcMar>
            <w:vAlign w:val="center"/>
          </w:tcPr>
          <w:p w14:paraId="197ED50B" w14:textId="77777777" w:rsidR="00AA3A5F" w:rsidRPr="006D5523" w:rsidRDefault="00AA3A5F" w:rsidP="007A68D5">
            <w:pPr>
              <w:jc w:val="center"/>
              <w:rPr>
                <w:rFonts w:cs="Times New Roman"/>
                <w:b/>
                <w:sz w:val="20"/>
                <w:szCs w:val="20"/>
                <w:lang w:val="cs-CZ"/>
              </w:rPr>
            </w:pPr>
            <w:r w:rsidRPr="006D5523">
              <w:rPr>
                <w:rFonts w:cs="Times New Roman"/>
                <w:b/>
                <w:sz w:val="20"/>
                <w:szCs w:val="20"/>
                <w:lang w:val="cs-CZ"/>
              </w:rPr>
              <w:t>3,15</w:t>
            </w:r>
          </w:p>
        </w:tc>
        <w:tc>
          <w:tcPr>
            <w:tcW w:w="1525" w:type="dxa"/>
            <w:tcBorders>
              <w:top w:val="single" w:sz="12" w:space="0" w:color="auto"/>
              <w:left w:val="single" w:sz="6" w:space="0" w:color="auto"/>
              <w:bottom w:val="single" w:sz="18" w:space="0" w:color="auto"/>
              <w:right w:val="single" w:sz="6" w:space="0" w:color="auto"/>
            </w:tcBorders>
            <w:shd w:val="clear" w:color="auto" w:fill="FFFFFF"/>
            <w:noWrap/>
            <w:tcMar>
              <w:top w:w="0" w:type="dxa"/>
              <w:left w:w="70" w:type="dxa"/>
              <w:bottom w:w="0" w:type="dxa"/>
              <w:right w:w="70" w:type="dxa"/>
            </w:tcMar>
            <w:vAlign w:val="center"/>
          </w:tcPr>
          <w:p w14:paraId="31BFC689" w14:textId="77777777" w:rsidR="00AA3A5F" w:rsidRPr="006D5523" w:rsidRDefault="00AA3A5F" w:rsidP="007A68D5">
            <w:pPr>
              <w:jc w:val="center"/>
              <w:rPr>
                <w:rFonts w:cs="Times New Roman"/>
                <w:b/>
                <w:sz w:val="20"/>
                <w:szCs w:val="20"/>
                <w:lang w:val="cs-CZ"/>
              </w:rPr>
            </w:pPr>
            <w:r w:rsidRPr="006D5523">
              <w:rPr>
                <w:rFonts w:cs="Times New Roman"/>
                <w:b/>
                <w:sz w:val="20"/>
                <w:szCs w:val="20"/>
                <w:lang w:val="cs-CZ"/>
              </w:rPr>
              <w:t>1 523,16</w:t>
            </w:r>
          </w:p>
        </w:tc>
        <w:tc>
          <w:tcPr>
            <w:tcW w:w="2081" w:type="dxa"/>
            <w:tcBorders>
              <w:top w:val="single" w:sz="12" w:space="0" w:color="auto"/>
              <w:left w:val="single" w:sz="6" w:space="0" w:color="auto"/>
              <w:bottom w:val="single" w:sz="18" w:space="0" w:color="auto"/>
              <w:right w:val="single" w:sz="12" w:space="0" w:color="auto"/>
            </w:tcBorders>
            <w:shd w:val="clear" w:color="auto" w:fill="FFFFFF"/>
            <w:vAlign w:val="center"/>
          </w:tcPr>
          <w:p w14:paraId="253050CF" w14:textId="77777777" w:rsidR="00AA3A5F" w:rsidRPr="006D5523" w:rsidRDefault="00AA3A5F" w:rsidP="007A68D5">
            <w:pPr>
              <w:jc w:val="center"/>
              <w:rPr>
                <w:rFonts w:cs="Times New Roman"/>
                <w:b/>
                <w:sz w:val="20"/>
                <w:szCs w:val="20"/>
                <w:lang w:val="cs-CZ"/>
              </w:rPr>
            </w:pPr>
            <w:r w:rsidRPr="006D5523">
              <w:rPr>
                <w:rFonts w:cs="Times New Roman"/>
                <w:b/>
                <w:sz w:val="20"/>
                <w:szCs w:val="20"/>
                <w:lang w:val="cs-CZ"/>
              </w:rPr>
              <w:t>39,93</w:t>
            </w:r>
          </w:p>
        </w:tc>
        <w:tc>
          <w:tcPr>
            <w:tcW w:w="1345" w:type="dxa"/>
            <w:tcBorders>
              <w:top w:val="single" w:sz="12" w:space="0" w:color="auto"/>
              <w:left w:val="single" w:sz="12" w:space="0" w:color="auto"/>
              <w:bottom w:val="single" w:sz="18" w:space="0" w:color="auto"/>
              <w:right w:val="single" w:sz="18" w:space="0" w:color="auto"/>
            </w:tcBorders>
            <w:shd w:val="clear" w:color="auto" w:fill="FFFFFF"/>
          </w:tcPr>
          <w:p w14:paraId="4998E346" w14:textId="77777777" w:rsidR="00AA3A5F" w:rsidRPr="006D5523" w:rsidRDefault="00AA3A5F" w:rsidP="007A68D5">
            <w:pPr>
              <w:jc w:val="center"/>
              <w:rPr>
                <w:rFonts w:cs="Times New Roman"/>
                <w:b/>
                <w:sz w:val="20"/>
                <w:szCs w:val="20"/>
                <w:lang w:val="cs-CZ"/>
              </w:rPr>
            </w:pPr>
            <w:r w:rsidRPr="006D5523">
              <w:rPr>
                <w:rFonts w:cs="Times New Roman"/>
                <w:b/>
                <w:sz w:val="20"/>
                <w:szCs w:val="20"/>
                <w:lang w:val="cs-CZ"/>
              </w:rPr>
              <w:t>1 800,24</w:t>
            </w:r>
          </w:p>
        </w:tc>
      </w:tr>
    </w:tbl>
    <w:p w14:paraId="70A9ACE3" w14:textId="77777777" w:rsidR="00AA3A5F" w:rsidRPr="00B25A22" w:rsidRDefault="00AA3A5F" w:rsidP="006D5523">
      <w:pPr>
        <w:pStyle w:val="UZEIZdroj"/>
      </w:pPr>
      <w:r w:rsidRPr="00B25A22">
        <w:t>Pramen: SZIF</w:t>
      </w:r>
    </w:p>
    <w:p w14:paraId="385A86F6" w14:textId="77777777" w:rsidR="00AA3A5F" w:rsidRPr="00B25A22" w:rsidRDefault="00AA3A5F" w:rsidP="006D5523">
      <w:pPr>
        <w:pStyle w:val="UZEINormaln"/>
      </w:pPr>
      <w:r w:rsidRPr="00B25A22">
        <w:t>Dle TÚ 43/4203 byla nejvíce žádaným titulem „Změna odrůdové skladby“,  který je každoročně žádán na více než 200 ha vinic..  V hodnoceném roce 2018/19 byl poprvé využit titul „Přesun vinice do svahu“.</w:t>
      </w:r>
    </w:p>
    <w:p w14:paraId="03F86702" w14:textId="77777777" w:rsidR="00AA3A5F" w:rsidRPr="006D5523" w:rsidRDefault="00AA3A5F" w:rsidP="00AA3A5F">
      <w:pPr>
        <w:rPr>
          <w:rFonts w:cs="Times New Roman"/>
          <w:b/>
          <w:sz w:val="20"/>
          <w:szCs w:val="20"/>
          <w:lang w:val="cs-CZ"/>
        </w:rPr>
      </w:pPr>
      <w:r w:rsidRPr="006D5523">
        <w:rPr>
          <w:rFonts w:cs="Times New Roman"/>
          <w:b/>
          <w:sz w:val="20"/>
          <w:szCs w:val="20"/>
          <w:lang w:val="cs-CZ"/>
        </w:rPr>
        <w:t xml:space="preserve">Graf P 2.1 – Poměr hektarů vinic dle dotačního titulu v opatření Restrukturalizace za poslední uzavřené období </w:t>
      </w:r>
      <w:r w:rsidRPr="006D5523">
        <w:rPr>
          <w:rFonts w:cs="Times New Roman"/>
          <w:sz w:val="20"/>
          <w:szCs w:val="20"/>
          <w:lang w:val="cs-CZ"/>
        </w:rPr>
        <w:t>2013/14-2017/18</w:t>
      </w:r>
    </w:p>
    <w:p w14:paraId="6B9470D2" w14:textId="77777777" w:rsidR="00AA3A5F" w:rsidRPr="00B25A22" w:rsidRDefault="00AA3A5F" w:rsidP="00AA3A5F">
      <w:pPr>
        <w:rPr>
          <w:rFonts w:cs="Times New Roman"/>
          <w:sz w:val="22"/>
          <w:lang w:val="cs-CZ"/>
        </w:rPr>
      </w:pPr>
      <w:r w:rsidRPr="00B25A22">
        <w:rPr>
          <w:rFonts w:cs="Times New Roman"/>
          <w:noProof/>
          <w:lang w:val="cs-CZ" w:eastAsia="cs-CZ"/>
        </w:rPr>
        <w:drawing>
          <wp:inline distT="0" distB="0" distL="0" distR="0" wp14:anchorId="67B93901" wp14:editId="47CCD7E5">
            <wp:extent cx="5711236" cy="2838450"/>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2"/>
                    <a:srcRect l="33686" t="35363" r="36985" b="38724"/>
                    <a:stretch/>
                  </pic:blipFill>
                  <pic:spPr bwMode="auto">
                    <a:xfrm>
                      <a:off x="0" y="0"/>
                      <a:ext cx="5769166" cy="2867241"/>
                    </a:xfrm>
                    <a:prstGeom prst="rect">
                      <a:avLst/>
                    </a:prstGeom>
                    <a:ln>
                      <a:noFill/>
                    </a:ln>
                    <a:extLst>
                      <a:ext uri="{53640926-AAD7-44D8-BBD7-CCE9431645EC}">
                        <a14:shadowObscured xmlns:a14="http://schemas.microsoft.com/office/drawing/2010/main"/>
                      </a:ext>
                    </a:extLst>
                  </pic:spPr>
                </pic:pic>
              </a:graphicData>
            </a:graphic>
          </wp:inline>
        </w:drawing>
      </w:r>
    </w:p>
    <w:p w14:paraId="38B911DD" w14:textId="77777777" w:rsidR="00AA3A5F" w:rsidRPr="00B25A22" w:rsidRDefault="00AA3A5F" w:rsidP="00DC3FF9">
      <w:pPr>
        <w:pStyle w:val="UZEIZdroj"/>
      </w:pPr>
      <w:r w:rsidRPr="00B25A22">
        <w:t>Pramen: SZIF, zpracoval ÚZEI</w:t>
      </w:r>
    </w:p>
    <w:p w14:paraId="2EEF2294" w14:textId="77777777" w:rsidR="00AA3A5F" w:rsidRPr="00B25A22" w:rsidRDefault="00AA3A5F" w:rsidP="00DC3FF9">
      <w:pPr>
        <w:pStyle w:val="UZEINormaln"/>
      </w:pPr>
      <w:r w:rsidRPr="00B25A22">
        <w:t>Ačkoliv se částka vyplácená v opatření „Restrukturalizace“ příliš neměnila, vzrůstal počet vyplacených žádostí. Zájem vinohradníků o podporu tedy stále je.</w:t>
      </w:r>
    </w:p>
    <w:p w14:paraId="4DF15BBE" w14:textId="77777777" w:rsidR="00DC3FF9" w:rsidRDefault="00DC3FF9" w:rsidP="00AA3A5F">
      <w:pPr>
        <w:spacing w:line="300" w:lineRule="atLeast"/>
        <w:rPr>
          <w:rFonts w:cs="Times New Roman"/>
          <w:b/>
          <w:sz w:val="20"/>
          <w:szCs w:val="20"/>
          <w:lang w:val="cs-CZ"/>
        </w:rPr>
      </w:pPr>
    </w:p>
    <w:p w14:paraId="63D563E7" w14:textId="77777777" w:rsidR="00DC3FF9" w:rsidRDefault="00DC3FF9" w:rsidP="00AA3A5F">
      <w:pPr>
        <w:spacing w:line="300" w:lineRule="atLeast"/>
        <w:rPr>
          <w:rFonts w:cs="Times New Roman"/>
          <w:b/>
          <w:sz w:val="20"/>
          <w:szCs w:val="20"/>
          <w:lang w:val="cs-CZ"/>
        </w:rPr>
      </w:pPr>
    </w:p>
    <w:p w14:paraId="5365BB1C" w14:textId="77777777" w:rsidR="00DC3FF9" w:rsidRDefault="00DC3FF9" w:rsidP="00AA3A5F">
      <w:pPr>
        <w:spacing w:line="300" w:lineRule="atLeast"/>
        <w:rPr>
          <w:rFonts w:cs="Times New Roman"/>
          <w:b/>
          <w:sz w:val="20"/>
          <w:szCs w:val="20"/>
          <w:lang w:val="cs-CZ"/>
        </w:rPr>
      </w:pPr>
    </w:p>
    <w:p w14:paraId="1426260E" w14:textId="77777777" w:rsidR="00DC3FF9" w:rsidRDefault="00DC3FF9" w:rsidP="00AA3A5F">
      <w:pPr>
        <w:spacing w:line="300" w:lineRule="atLeast"/>
        <w:rPr>
          <w:rFonts w:cs="Times New Roman"/>
          <w:b/>
          <w:sz w:val="20"/>
          <w:szCs w:val="20"/>
          <w:lang w:val="cs-CZ"/>
        </w:rPr>
      </w:pPr>
    </w:p>
    <w:p w14:paraId="7B41BBA6" w14:textId="77777777" w:rsidR="00DC3FF9" w:rsidRDefault="00DC3FF9" w:rsidP="00AA3A5F">
      <w:pPr>
        <w:spacing w:line="300" w:lineRule="atLeast"/>
        <w:rPr>
          <w:rFonts w:cs="Times New Roman"/>
          <w:b/>
          <w:sz w:val="20"/>
          <w:szCs w:val="20"/>
          <w:lang w:val="cs-CZ"/>
        </w:rPr>
      </w:pPr>
    </w:p>
    <w:p w14:paraId="270E52B2" w14:textId="168EB1A5" w:rsidR="00AA3A5F" w:rsidRPr="00DC3FF9" w:rsidRDefault="00AA3A5F" w:rsidP="00AA3A5F">
      <w:pPr>
        <w:spacing w:line="300" w:lineRule="atLeast"/>
        <w:rPr>
          <w:rFonts w:cs="Times New Roman"/>
          <w:b/>
          <w:sz w:val="20"/>
          <w:szCs w:val="20"/>
          <w:lang w:val="cs-CZ"/>
        </w:rPr>
      </w:pPr>
      <w:r w:rsidRPr="00DC3FF9">
        <w:rPr>
          <w:rFonts w:cs="Times New Roman"/>
          <w:b/>
          <w:sz w:val="20"/>
          <w:szCs w:val="20"/>
          <w:lang w:val="cs-CZ"/>
        </w:rPr>
        <w:lastRenderedPageBreak/>
        <w:t>Tab. P 2.3: Počty vyplacených žádostí v jednotlivých finančních letech</w:t>
      </w:r>
    </w:p>
    <w:tbl>
      <w:tblPr>
        <w:tblW w:w="5000" w:type="pct"/>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922"/>
        <w:gridCol w:w="5066"/>
      </w:tblGrid>
      <w:tr w:rsidR="00AA3A5F" w:rsidRPr="00DC3FF9" w14:paraId="7C24E36C" w14:textId="77777777" w:rsidTr="007A68D5">
        <w:trPr>
          <w:trHeight w:val="283"/>
        </w:trPr>
        <w:tc>
          <w:tcPr>
            <w:tcW w:w="812" w:type="pct"/>
            <w:tcBorders>
              <w:top w:val="single" w:sz="18" w:space="0" w:color="auto"/>
              <w:left w:val="single" w:sz="18" w:space="0" w:color="auto"/>
              <w:bottom w:val="single" w:sz="12" w:space="0" w:color="auto"/>
              <w:right w:val="single" w:sz="12" w:space="0" w:color="auto"/>
            </w:tcBorders>
            <w:noWrap/>
            <w:tcMar>
              <w:top w:w="0" w:type="dxa"/>
              <w:left w:w="70" w:type="dxa"/>
              <w:bottom w:w="0" w:type="dxa"/>
              <w:right w:w="70" w:type="dxa"/>
            </w:tcMar>
            <w:vAlign w:val="center"/>
            <w:hideMark/>
          </w:tcPr>
          <w:p w14:paraId="6B8742B7" w14:textId="77777777" w:rsidR="00AA3A5F" w:rsidRPr="00DC3FF9" w:rsidRDefault="00AA3A5F" w:rsidP="007A68D5">
            <w:pPr>
              <w:jc w:val="center"/>
              <w:rPr>
                <w:rFonts w:cs="Times New Roman"/>
                <w:sz w:val="20"/>
                <w:szCs w:val="20"/>
                <w:lang w:val="cs-CZ"/>
              </w:rPr>
            </w:pPr>
            <w:r w:rsidRPr="00DC3FF9">
              <w:rPr>
                <w:rFonts w:cs="Times New Roman"/>
                <w:sz w:val="20"/>
                <w:szCs w:val="20"/>
                <w:lang w:val="cs-CZ"/>
              </w:rPr>
              <w:t>Rok</w:t>
            </w:r>
          </w:p>
        </w:tc>
        <w:tc>
          <w:tcPr>
            <w:tcW w:w="1049" w:type="pct"/>
            <w:tcBorders>
              <w:top w:val="single" w:sz="18" w:space="0" w:color="auto"/>
              <w:left w:val="single" w:sz="12" w:space="0" w:color="auto"/>
              <w:bottom w:val="single" w:sz="12" w:space="0" w:color="auto"/>
              <w:right w:val="single" w:sz="12" w:space="0" w:color="auto"/>
            </w:tcBorders>
            <w:noWrap/>
            <w:tcMar>
              <w:top w:w="0" w:type="dxa"/>
              <w:left w:w="70" w:type="dxa"/>
              <w:bottom w:w="0" w:type="dxa"/>
              <w:right w:w="70" w:type="dxa"/>
            </w:tcMar>
            <w:vAlign w:val="center"/>
            <w:hideMark/>
          </w:tcPr>
          <w:p w14:paraId="3F174E55" w14:textId="77777777" w:rsidR="00AA3A5F" w:rsidRPr="00DC3FF9" w:rsidRDefault="00AA3A5F" w:rsidP="007A68D5">
            <w:pPr>
              <w:jc w:val="center"/>
              <w:rPr>
                <w:rFonts w:cs="Times New Roman"/>
                <w:sz w:val="20"/>
                <w:szCs w:val="20"/>
                <w:lang w:val="cs-CZ"/>
              </w:rPr>
            </w:pPr>
            <w:r w:rsidRPr="00DC3FF9">
              <w:rPr>
                <w:rFonts w:cs="Times New Roman"/>
                <w:sz w:val="20"/>
                <w:szCs w:val="20"/>
                <w:lang w:val="cs-CZ"/>
              </w:rPr>
              <w:t>Počet vyplacených žádostí</w:t>
            </w:r>
          </w:p>
        </w:tc>
      </w:tr>
      <w:tr w:rsidR="00AA3A5F" w:rsidRPr="00DC3FF9" w14:paraId="3E8C81CB" w14:textId="77777777" w:rsidTr="007A68D5">
        <w:trPr>
          <w:trHeight w:val="301"/>
        </w:trPr>
        <w:tc>
          <w:tcPr>
            <w:tcW w:w="812" w:type="pct"/>
            <w:tcBorders>
              <w:top w:val="single" w:sz="12" w:space="0" w:color="auto"/>
              <w:left w:val="single" w:sz="18" w:space="0" w:color="auto"/>
              <w:right w:val="single" w:sz="12" w:space="0" w:color="auto"/>
            </w:tcBorders>
            <w:noWrap/>
            <w:tcMar>
              <w:top w:w="0" w:type="dxa"/>
              <w:left w:w="70" w:type="dxa"/>
              <w:bottom w:w="0" w:type="dxa"/>
              <w:right w:w="70" w:type="dxa"/>
            </w:tcMar>
            <w:vAlign w:val="center"/>
            <w:hideMark/>
          </w:tcPr>
          <w:p w14:paraId="2E35B08E" w14:textId="77777777" w:rsidR="00AA3A5F" w:rsidRPr="00DC3FF9" w:rsidRDefault="00AA3A5F" w:rsidP="007A68D5">
            <w:pPr>
              <w:jc w:val="center"/>
              <w:rPr>
                <w:rFonts w:cs="Times New Roman"/>
                <w:sz w:val="20"/>
                <w:szCs w:val="20"/>
                <w:lang w:val="cs-CZ"/>
              </w:rPr>
            </w:pPr>
            <w:r w:rsidRPr="00DC3FF9">
              <w:rPr>
                <w:rFonts w:cs="Times New Roman"/>
                <w:sz w:val="20"/>
                <w:szCs w:val="20"/>
                <w:lang w:val="cs-CZ"/>
              </w:rPr>
              <w:t>2013/2014</w:t>
            </w:r>
          </w:p>
        </w:tc>
        <w:tc>
          <w:tcPr>
            <w:tcW w:w="1049" w:type="pct"/>
            <w:tcBorders>
              <w:top w:val="single" w:sz="12"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bottom"/>
            <w:hideMark/>
          </w:tcPr>
          <w:p w14:paraId="5CC2F70C" w14:textId="77777777" w:rsidR="00AA3A5F" w:rsidRPr="00DC3FF9" w:rsidRDefault="00AA3A5F" w:rsidP="007A68D5">
            <w:pPr>
              <w:jc w:val="center"/>
              <w:rPr>
                <w:rFonts w:cs="Times New Roman"/>
                <w:sz w:val="20"/>
                <w:szCs w:val="20"/>
                <w:lang w:val="cs-CZ"/>
              </w:rPr>
            </w:pPr>
            <w:r w:rsidRPr="00DC3FF9">
              <w:rPr>
                <w:rFonts w:cs="Times New Roman"/>
                <w:sz w:val="20"/>
                <w:szCs w:val="20"/>
                <w:lang w:val="cs-CZ"/>
              </w:rPr>
              <w:t>97</w:t>
            </w:r>
          </w:p>
        </w:tc>
      </w:tr>
      <w:tr w:rsidR="00AA3A5F" w:rsidRPr="00DC3FF9" w14:paraId="569041CC" w14:textId="77777777" w:rsidTr="007A68D5">
        <w:trPr>
          <w:trHeight w:val="301"/>
        </w:trPr>
        <w:tc>
          <w:tcPr>
            <w:tcW w:w="812" w:type="pct"/>
            <w:tcBorders>
              <w:top w:val="single" w:sz="6" w:space="0" w:color="auto"/>
              <w:left w:val="single" w:sz="18" w:space="0" w:color="auto"/>
              <w:right w:val="single" w:sz="12" w:space="0" w:color="auto"/>
            </w:tcBorders>
            <w:noWrap/>
            <w:tcMar>
              <w:top w:w="0" w:type="dxa"/>
              <w:left w:w="70" w:type="dxa"/>
              <w:bottom w:w="0" w:type="dxa"/>
              <w:right w:w="70" w:type="dxa"/>
            </w:tcMar>
            <w:vAlign w:val="center"/>
            <w:hideMark/>
          </w:tcPr>
          <w:p w14:paraId="2F5C1AF2" w14:textId="77777777" w:rsidR="00AA3A5F" w:rsidRPr="00DC3FF9" w:rsidRDefault="00AA3A5F" w:rsidP="007A68D5">
            <w:pPr>
              <w:jc w:val="center"/>
              <w:rPr>
                <w:rFonts w:cs="Times New Roman"/>
                <w:sz w:val="20"/>
                <w:szCs w:val="20"/>
                <w:lang w:val="cs-CZ"/>
              </w:rPr>
            </w:pPr>
            <w:r w:rsidRPr="00DC3FF9">
              <w:rPr>
                <w:rFonts w:cs="Times New Roman"/>
                <w:sz w:val="20"/>
                <w:szCs w:val="20"/>
                <w:lang w:val="cs-CZ"/>
              </w:rPr>
              <w:t>2014/2015</w:t>
            </w:r>
          </w:p>
        </w:tc>
        <w:tc>
          <w:tcPr>
            <w:tcW w:w="1049" w:type="pct"/>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bottom"/>
          </w:tcPr>
          <w:p w14:paraId="7B82735A" w14:textId="77777777" w:rsidR="00AA3A5F" w:rsidRPr="00DC3FF9" w:rsidRDefault="00AA3A5F" w:rsidP="007A68D5">
            <w:pPr>
              <w:jc w:val="center"/>
              <w:rPr>
                <w:rFonts w:cs="Times New Roman"/>
                <w:sz w:val="20"/>
                <w:szCs w:val="20"/>
                <w:lang w:val="cs-CZ"/>
              </w:rPr>
            </w:pPr>
            <w:r w:rsidRPr="00DC3FF9">
              <w:rPr>
                <w:rFonts w:cs="Times New Roman"/>
                <w:sz w:val="20"/>
                <w:szCs w:val="20"/>
                <w:lang w:val="cs-CZ"/>
              </w:rPr>
              <w:t>111</w:t>
            </w:r>
          </w:p>
        </w:tc>
      </w:tr>
      <w:tr w:rsidR="00AA3A5F" w:rsidRPr="00DC3FF9" w14:paraId="0C89E375" w14:textId="77777777" w:rsidTr="007A68D5">
        <w:trPr>
          <w:trHeight w:val="301"/>
        </w:trPr>
        <w:tc>
          <w:tcPr>
            <w:tcW w:w="812" w:type="pct"/>
            <w:tcBorders>
              <w:top w:val="single" w:sz="6" w:space="0" w:color="auto"/>
              <w:left w:val="single" w:sz="18" w:space="0" w:color="auto"/>
              <w:right w:val="single" w:sz="12" w:space="0" w:color="auto"/>
            </w:tcBorders>
            <w:noWrap/>
            <w:tcMar>
              <w:top w:w="0" w:type="dxa"/>
              <w:left w:w="70" w:type="dxa"/>
              <w:bottom w:w="0" w:type="dxa"/>
              <w:right w:w="70" w:type="dxa"/>
            </w:tcMar>
            <w:vAlign w:val="center"/>
            <w:hideMark/>
          </w:tcPr>
          <w:p w14:paraId="773923EB" w14:textId="77777777" w:rsidR="00AA3A5F" w:rsidRPr="00DC3FF9" w:rsidRDefault="00AA3A5F" w:rsidP="007A68D5">
            <w:pPr>
              <w:jc w:val="center"/>
              <w:rPr>
                <w:rFonts w:cs="Times New Roman"/>
                <w:sz w:val="20"/>
                <w:szCs w:val="20"/>
                <w:lang w:val="cs-CZ"/>
              </w:rPr>
            </w:pPr>
            <w:r w:rsidRPr="00DC3FF9">
              <w:rPr>
                <w:rFonts w:cs="Times New Roman"/>
                <w:sz w:val="20"/>
                <w:szCs w:val="20"/>
                <w:lang w:val="cs-CZ"/>
              </w:rPr>
              <w:t>2015/2016</w:t>
            </w:r>
          </w:p>
        </w:tc>
        <w:tc>
          <w:tcPr>
            <w:tcW w:w="1049" w:type="pct"/>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bottom"/>
          </w:tcPr>
          <w:p w14:paraId="6623F564" w14:textId="77777777" w:rsidR="00AA3A5F" w:rsidRPr="00DC3FF9" w:rsidRDefault="00AA3A5F" w:rsidP="007A68D5">
            <w:pPr>
              <w:jc w:val="center"/>
              <w:rPr>
                <w:rFonts w:cs="Times New Roman"/>
                <w:sz w:val="20"/>
                <w:szCs w:val="20"/>
                <w:lang w:val="cs-CZ"/>
              </w:rPr>
            </w:pPr>
            <w:r w:rsidRPr="00DC3FF9">
              <w:rPr>
                <w:rFonts w:cs="Times New Roman"/>
                <w:sz w:val="20"/>
                <w:szCs w:val="20"/>
                <w:lang w:val="cs-CZ"/>
              </w:rPr>
              <w:t>102</w:t>
            </w:r>
          </w:p>
        </w:tc>
      </w:tr>
      <w:tr w:rsidR="00AA3A5F" w:rsidRPr="00DC3FF9" w14:paraId="3E4C68B2" w14:textId="77777777" w:rsidTr="007A68D5">
        <w:trPr>
          <w:trHeight w:val="301"/>
        </w:trPr>
        <w:tc>
          <w:tcPr>
            <w:tcW w:w="812" w:type="pct"/>
            <w:tcBorders>
              <w:top w:val="single" w:sz="6" w:space="0" w:color="auto"/>
              <w:left w:val="single" w:sz="18" w:space="0" w:color="auto"/>
              <w:right w:val="single" w:sz="12" w:space="0" w:color="auto"/>
            </w:tcBorders>
            <w:noWrap/>
            <w:tcMar>
              <w:top w:w="0" w:type="dxa"/>
              <w:left w:w="70" w:type="dxa"/>
              <w:bottom w:w="0" w:type="dxa"/>
              <w:right w:w="70" w:type="dxa"/>
            </w:tcMar>
            <w:vAlign w:val="center"/>
            <w:hideMark/>
          </w:tcPr>
          <w:p w14:paraId="20E7C916" w14:textId="77777777" w:rsidR="00AA3A5F" w:rsidRPr="00DC3FF9" w:rsidRDefault="00AA3A5F" w:rsidP="007A68D5">
            <w:pPr>
              <w:jc w:val="center"/>
              <w:rPr>
                <w:rFonts w:cs="Times New Roman"/>
                <w:sz w:val="20"/>
                <w:szCs w:val="20"/>
                <w:lang w:val="cs-CZ"/>
              </w:rPr>
            </w:pPr>
            <w:r w:rsidRPr="00DC3FF9">
              <w:rPr>
                <w:rFonts w:cs="Times New Roman"/>
                <w:sz w:val="20"/>
                <w:szCs w:val="20"/>
                <w:lang w:val="cs-CZ"/>
              </w:rPr>
              <w:t>2016/2017</w:t>
            </w:r>
          </w:p>
        </w:tc>
        <w:tc>
          <w:tcPr>
            <w:tcW w:w="1049" w:type="pct"/>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bottom"/>
          </w:tcPr>
          <w:p w14:paraId="771A12B4" w14:textId="77777777" w:rsidR="00AA3A5F" w:rsidRPr="00DC3FF9" w:rsidRDefault="00AA3A5F" w:rsidP="007A68D5">
            <w:pPr>
              <w:jc w:val="center"/>
              <w:rPr>
                <w:rFonts w:cs="Times New Roman"/>
                <w:sz w:val="20"/>
                <w:szCs w:val="20"/>
                <w:lang w:val="cs-CZ"/>
              </w:rPr>
            </w:pPr>
            <w:r w:rsidRPr="00DC3FF9">
              <w:rPr>
                <w:rFonts w:cs="Times New Roman"/>
                <w:sz w:val="20"/>
                <w:szCs w:val="20"/>
                <w:lang w:val="cs-CZ"/>
              </w:rPr>
              <w:t>112</w:t>
            </w:r>
          </w:p>
        </w:tc>
      </w:tr>
      <w:tr w:rsidR="00AA3A5F" w:rsidRPr="00DC3FF9" w14:paraId="4ABE14C7" w14:textId="77777777" w:rsidTr="007A68D5">
        <w:trPr>
          <w:trHeight w:val="301"/>
        </w:trPr>
        <w:tc>
          <w:tcPr>
            <w:tcW w:w="812" w:type="pct"/>
            <w:tcBorders>
              <w:top w:val="single" w:sz="6" w:space="0" w:color="auto"/>
              <w:left w:val="single" w:sz="18" w:space="0" w:color="auto"/>
              <w:bottom w:val="single" w:sz="12" w:space="0" w:color="auto"/>
              <w:right w:val="single" w:sz="12" w:space="0" w:color="auto"/>
            </w:tcBorders>
            <w:noWrap/>
            <w:tcMar>
              <w:top w:w="0" w:type="dxa"/>
              <w:left w:w="70" w:type="dxa"/>
              <w:bottom w:w="0" w:type="dxa"/>
              <w:right w:w="70" w:type="dxa"/>
            </w:tcMar>
            <w:vAlign w:val="center"/>
          </w:tcPr>
          <w:p w14:paraId="14593E52" w14:textId="77777777" w:rsidR="00AA3A5F" w:rsidRPr="00DC3FF9" w:rsidRDefault="00AA3A5F" w:rsidP="007A68D5">
            <w:pPr>
              <w:jc w:val="center"/>
              <w:rPr>
                <w:rFonts w:cs="Times New Roman"/>
                <w:sz w:val="20"/>
                <w:szCs w:val="20"/>
                <w:lang w:val="cs-CZ"/>
              </w:rPr>
            </w:pPr>
            <w:r w:rsidRPr="00DC3FF9">
              <w:rPr>
                <w:rFonts w:cs="Times New Roman"/>
                <w:sz w:val="20"/>
                <w:szCs w:val="20"/>
                <w:lang w:val="cs-CZ"/>
              </w:rPr>
              <w:t>2017/2018</w:t>
            </w:r>
          </w:p>
        </w:tc>
        <w:tc>
          <w:tcPr>
            <w:tcW w:w="1049" w:type="pct"/>
            <w:tcBorders>
              <w:top w:val="single" w:sz="6" w:space="0" w:color="auto"/>
              <w:left w:val="single" w:sz="12" w:space="0" w:color="auto"/>
              <w:bottom w:val="single" w:sz="12" w:space="0" w:color="auto"/>
              <w:right w:val="single" w:sz="12" w:space="0" w:color="auto"/>
            </w:tcBorders>
            <w:shd w:val="clear" w:color="auto" w:fill="FFFFFF"/>
            <w:noWrap/>
            <w:tcMar>
              <w:top w:w="0" w:type="dxa"/>
              <w:left w:w="70" w:type="dxa"/>
              <w:bottom w:w="0" w:type="dxa"/>
              <w:right w:w="70" w:type="dxa"/>
            </w:tcMar>
            <w:vAlign w:val="bottom"/>
          </w:tcPr>
          <w:p w14:paraId="3EB89878" w14:textId="77777777" w:rsidR="00AA3A5F" w:rsidRPr="00DC3FF9" w:rsidRDefault="00AA3A5F" w:rsidP="007A68D5">
            <w:pPr>
              <w:jc w:val="center"/>
              <w:rPr>
                <w:rFonts w:cs="Times New Roman"/>
                <w:sz w:val="20"/>
                <w:szCs w:val="20"/>
                <w:lang w:val="cs-CZ"/>
              </w:rPr>
            </w:pPr>
            <w:r w:rsidRPr="00DC3FF9">
              <w:rPr>
                <w:rFonts w:cs="Times New Roman"/>
                <w:sz w:val="20"/>
                <w:szCs w:val="20"/>
                <w:lang w:val="cs-CZ"/>
              </w:rPr>
              <w:t>143</w:t>
            </w:r>
          </w:p>
        </w:tc>
      </w:tr>
      <w:tr w:rsidR="00AA3A5F" w:rsidRPr="00DC3FF9" w14:paraId="5015EAB7" w14:textId="77777777" w:rsidTr="007A68D5">
        <w:trPr>
          <w:trHeight w:val="301"/>
        </w:trPr>
        <w:tc>
          <w:tcPr>
            <w:tcW w:w="812" w:type="pct"/>
            <w:tcBorders>
              <w:top w:val="single" w:sz="6" w:space="0" w:color="auto"/>
              <w:left w:val="single" w:sz="18" w:space="0" w:color="auto"/>
              <w:bottom w:val="single" w:sz="12" w:space="0" w:color="auto"/>
              <w:right w:val="single" w:sz="12" w:space="0" w:color="auto"/>
            </w:tcBorders>
            <w:noWrap/>
            <w:tcMar>
              <w:top w:w="0" w:type="dxa"/>
              <w:left w:w="70" w:type="dxa"/>
              <w:bottom w:w="0" w:type="dxa"/>
              <w:right w:w="70" w:type="dxa"/>
            </w:tcMar>
            <w:vAlign w:val="center"/>
          </w:tcPr>
          <w:p w14:paraId="792FE052" w14:textId="77777777" w:rsidR="00AA3A5F" w:rsidRPr="00DC3FF9" w:rsidRDefault="00AA3A5F" w:rsidP="007A68D5">
            <w:pPr>
              <w:jc w:val="center"/>
              <w:rPr>
                <w:rFonts w:cs="Times New Roman"/>
                <w:sz w:val="20"/>
                <w:szCs w:val="20"/>
                <w:lang w:val="cs-CZ"/>
              </w:rPr>
            </w:pPr>
            <w:r w:rsidRPr="00DC3FF9">
              <w:rPr>
                <w:rFonts w:cs="Times New Roman"/>
                <w:sz w:val="20"/>
                <w:szCs w:val="20"/>
                <w:lang w:val="cs-CZ"/>
              </w:rPr>
              <w:t>2018/2019</w:t>
            </w:r>
          </w:p>
        </w:tc>
        <w:tc>
          <w:tcPr>
            <w:tcW w:w="1049" w:type="pct"/>
            <w:tcBorders>
              <w:top w:val="single" w:sz="6" w:space="0" w:color="auto"/>
              <w:left w:val="single" w:sz="12" w:space="0" w:color="auto"/>
              <w:bottom w:val="single" w:sz="12" w:space="0" w:color="auto"/>
              <w:right w:val="single" w:sz="12" w:space="0" w:color="auto"/>
            </w:tcBorders>
            <w:shd w:val="clear" w:color="auto" w:fill="FFFFFF"/>
            <w:noWrap/>
            <w:tcMar>
              <w:top w:w="0" w:type="dxa"/>
              <w:left w:w="70" w:type="dxa"/>
              <w:bottom w:w="0" w:type="dxa"/>
              <w:right w:w="70" w:type="dxa"/>
            </w:tcMar>
            <w:vAlign w:val="bottom"/>
          </w:tcPr>
          <w:p w14:paraId="3CBD9550" w14:textId="77777777" w:rsidR="00AA3A5F" w:rsidRPr="00DC3FF9" w:rsidRDefault="00AA3A5F" w:rsidP="007A68D5">
            <w:pPr>
              <w:jc w:val="center"/>
              <w:rPr>
                <w:rFonts w:cs="Times New Roman"/>
                <w:sz w:val="20"/>
                <w:szCs w:val="20"/>
                <w:lang w:val="cs-CZ"/>
              </w:rPr>
            </w:pPr>
            <w:r w:rsidRPr="00DC3FF9">
              <w:rPr>
                <w:rFonts w:cs="Times New Roman"/>
                <w:sz w:val="20"/>
                <w:szCs w:val="20"/>
                <w:lang w:val="cs-CZ"/>
              </w:rPr>
              <w:t>79</w:t>
            </w:r>
          </w:p>
        </w:tc>
      </w:tr>
      <w:tr w:rsidR="00AA3A5F" w:rsidRPr="00DC3FF9" w14:paraId="7335677F" w14:textId="77777777" w:rsidTr="007A68D5">
        <w:trPr>
          <w:trHeight w:val="301"/>
        </w:trPr>
        <w:tc>
          <w:tcPr>
            <w:tcW w:w="812" w:type="pct"/>
            <w:tcBorders>
              <w:top w:val="single" w:sz="12" w:space="0" w:color="auto"/>
              <w:left w:val="single" w:sz="18" w:space="0" w:color="auto"/>
              <w:bottom w:val="single" w:sz="18" w:space="0" w:color="auto"/>
              <w:right w:val="single" w:sz="12" w:space="0" w:color="auto"/>
            </w:tcBorders>
            <w:noWrap/>
            <w:tcMar>
              <w:top w:w="0" w:type="dxa"/>
              <w:left w:w="70" w:type="dxa"/>
              <w:bottom w:w="0" w:type="dxa"/>
              <w:right w:w="70" w:type="dxa"/>
            </w:tcMar>
            <w:vAlign w:val="center"/>
          </w:tcPr>
          <w:p w14:paraId="73DA4159" w14:textId="77777777" w:rsidR="00AA3A5F" w:rsidRPr="00DC3FF9" w:rsidRDefault="00AA3A5F" w:rsidP="007A68D5">
            <w:pPr>
              <w:jc w:val="center"/>
              <w:rPr>
                <w:rFonts w:cs="Times New Roman"/>
                <w:b/>
                <w:sz w:val="20"/>
                <w:szCs w:val="20"/>
                <w:lang w:val="cs-CZ"/>
              </w:rPr>
            </w:pPr>
            <w:r w:rsidRPr="00DC3FF9">
              <w:rPr>
                <w:rFonts w:cs="Times New Roman"/>
                <w:b/>
                <w:sz w:val="20"/>
                <w:szCs w:val="20"/>
                <w:lang w:val="cs-CZ"/>
              </w:rPr>
              <w:t>CELKEM</w:t>
            </w:r>
          </w:p>
        </w:tc>
        <w:tc>
          <w:tcPr>
            <w:tcW w:w="1049" w:type="pct"/>
            <w:tcBorders>
              <w:top w:val="single" w:sz="12" w:space="0" w:color="auto"/>
              <w:left w:val="single" w:sz="12" w:space="0" w:color="auto"/>
              <w:bottom w:val="single" w:sz="18" w:space="0" w:color="auto"/>
              <w:right w:val="single" w:sz="12" w:space="0" w:color="auto"/>
            </w:tcBorders>
            <w:shd w:val="clear" w:color="auto" w:fill="FFFFFF"/>
            <w:noWrap/>
            <w:tcMar>
              <w:top w:w="0" w:type="dxa"/>
              <w:left w:w="70" w:type="dxa"/>
              <w:bottom w:w="0" w:type="dxa"/>
              <w:right w:w="70" w:type="dxa"/>
            </w:tcMar>
            <w:vAlign w:val="center"/>
          </w:tcPr>
          <w:p w14:paraId="1709EF7E" w14:textId="77777777" w:rsidR="00AA3A5F" w:rsidRPr="00DC3FF9" w:rsidRDefault="00AA3A5F" w:rsidP="007A68D5">
            <w:pPr>
              <w:jc w:val="center"/>
              <w:rPr>
                <w:rFonts w:cs="Times New Roman"/>
                <w:b/>
                <w:sz w:val="20"/>
                <w:szCs w:val="20"/>
                <w:lang w:val="cs-CZ"/>
              </w:rPr>
            </w:pPr>
            <w:r w:rsidRPr="00DC3FF9">
              <w:rPr>
                <w:rFonts w:cs="Times New Roman"/>
                <w:b/>
                <w:sz w:val="20"/>
                <w:szCs w:val="20"/>
                <w:lang w:val="cs-CZ"/>
              </w:rPr>
              <w:t>644</w:t>
            </w:r>
          </w:p>
        </w:tc>
      </w:tr>
    </w:tbl>
    <w:p w14:paraId="62D07237" w14:textId="77777777" w:rsidR="00AA3A5F" w:rsidRPr="00B25A22" w:rsidRDefault="00AA3A5F" w:rsidP="00DC3FF9">
      <w:pPr>
        <w:pStyle w:val="UZEIZdroj"/>
      </w:pPr>
      <w:r w:rsidRPr="00B25A22">
        <w:t>Pramen: SZIF</w:t>
      </w:r>
    </w:p>
    <w:p w14:paraId="71BA8437" w14:textId="77777777" w:rsidR="00AA3A5F" w:rsidRPr="00DC3FF9" w:rsidRDefault="00AA3A5F" w:rsidP="00AA3A5F">
      <w:pPr>
        <w:rPr>
          <w:rFonts w:cs="Times New Roman"/>
          <w:i/>
          <w:sz w:val="20"/>
          <w:szCs w:val="20"/>
          <w:lang w:val="cs-CZ"/>
        </w:rPr>
      </w:pPr>
      <w:r w:rsidRPr="00DC3FF9">
        <w:rPr>
          <w:rFonts w:cs="Times New Roman"/>
          <w:b/>
          <w:sz w:val="20"/>
          <w:szCs w:val="20"/>
          <w:lang w:val="cs-CZ"/>
        </w:rPr>
        <w:t>Tab. P 2.4: Vyplacená podpora na restrukturalizaci a přeměnu vinic (tis. Kč)</w:t>
      </w:r>
    </w:p>
    <w:tbl>
      <w:tblPr>
        <w:tblW w:w="5000" w:type="pct"/>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01"/>
        <w:gridCol w:w="1078"/>
        <w:gridCol w:w="1078"/>
        <w:gridCol w:w="954"/>
        <w:gridCol w:w="1078"/>
        <w:gridCol w:w="963"/>
        <w:gridCol w:w="979"/>
        <w:gridCol w:w="1049"/>
      </w:tblGrid>
      <w:tr w:rsidR="00AA3A5F" w:rsidRPr="00DC3FF9" w14:paraId="38635146" w14:textId="77777777" w:rsidTr="00DC3FF9">
        <w:trPr>
          <w:trHeight w:val="567"/>
        </w:trPr>
        <w:tc>
          <w:tcPr>
            <w:tcW w:w="1003" w:type="pct"/>
            <w:tcBorders>
              <w:top w:val="single" w:sz="18" w:space="0" w:color="auto"/>
              <w:left w:val="single" w:sz="18" w:space="0" w:color="auto"/>
              <w:bottom w:val="single" w:sz="12" w:space="0" w:color="auto"/>
              <w:right w:val="single" w:sz="12" w:space="0" w:color="auto"/>
            </w:tcBorders>
            <w:noWrap/>
            <w:tcMar>
              <w:top w:w="0" w:type="dxa"/>
              <w:left w:w="70" w:type="dxa"/>
              <w:bottom w:w="0" w:type="dxa"/>
              <w:right w:w="70" w:type="dxa"/>
            </w:tcMar>
            <w:vAlign w:val="center"/>
            <w:hideMark/>
          </w:tcPr>
          <w:p w14:paraId="1B6F22D3" w14:textId="77777777" w:rsidR="00AA3A5F" w:rsidRPr="00DC3FF9" w:rsidRDefault="00AA3A5F" w:rsidP="007A68D5">
            <w:pPr>
              <w:rPr>
                <w:rFonts w:cs="Times New Roman"/>
                <w:sz w:val="20"/>
                <w:szCs w:val="20"/>
                <w:lang w:val="cs-CZ"/>
              </w:rPr>
            </w:pPr>
            <w:r w:rsidRPr="00DC3FF9">
              <w:rPr>
                <w:rFonts w:cs="Times New Roman"/>
                <w:sz w:val="20"/>
                <w:szCs w:val="20"/>
                <w:lang w:val="cs-CZ"/>
              </w:rPr>
              <w:t>Finanční rok</w:t>
            </w:r>
          </w:p>
        </w:tc>
        <w:tc>
          <w:tcPr>
            <w:tcW w:w="600" w:type="pct"/>
            <w:tcBorders>
              <w:top w:val="single" w:sz="18" w:space="0" w:color="auto"/>
              <w:left w:val="single" w:sz="12" w:space="0" w:color="auto"/>
              <w:bottom w:val="single" w:sz="12" w:space="0" w:color="auto"/>
              <w:right w:val="single" w:sz="6" w:space="0" w:color="auto"/>
            </w:tcBorders>
            <w:noWrap/>
            <w:tcMar>
              <w:top w:w="0" w:type="dxa"/>
              <w:left w:w="70" w:type="dxa"/>
              <w:bottom w:w="0" w:type="dxa"/>
              <w:right w:w="70" w:type="dxa"/>
            </w:tcMar>
            <w:vAlign w:val="center"/>
          </w:tcPr>
          <w:p w14:paraId="1197C169" w14:textId="77777777" w:rsidR="00AA3A5F" w:rsidRPr="00DC3FF9" w:rsidRDefault="00AA3A5F" w:rsidP="007A68D5">
            <w:pPr>
              <w:rPr>
                <w:rFonts w:cs="Times New Roman"/>
                <w:sz w:val="20"/>
                <w:szCs w:val="20"/>
                <w:lang w:val="cs-CZ"/>
              </w:rPr>
            </w:pPr>
            <w:r w:rsidRPr="00DC3FF9">
              <w:rPr>
                <w:rFonts w:cs="Times New Roman"/>
                <w:sz w:val="20"/>
                <w:szCs w:val="20"/>
                <w:lang w:val="cs-CZ"/>
              </w:rPr>
              <w:t>2013/2014</w:t>
            </w:r>
          </w:p>
        </w:tc>
        <w:tc>
          <w:tcPr>
            <w:tcW w:w="600" w:type="pct"/>
            <w:tcBorders>
              <w:top w:val="single" w:sz="18" w:space="0" w:color="auto"/>
              <w:left w:val="single" w:sz="6" w:space="0" w:color="auto"/>
              <w:bottom w:val="single" w:sz="12" w:space="0" w:color="auto"/>
              <w:right w:val="single" w:sz="6" w:space="0" w:color="auto"/>
            </w:tcBorders>
            <w:noWrap/>
            <w:tcMar>
              <w:top w:w="0" w:type="dxa"/>
              <w:left w:w="70" w:type="dxa"/>
              <w:bottom w:w="0" w:type="dxa"/>
              <w:right w:w="70" w:type="dxa"/>
            </w:tcMar>
            <w:vAlign w:val="center"/>
          </w:tcPr>
          <w:p w14:paraId="05E39AEF" w14:textId="77777777" w:rsidR="00AA3A5F" w:rsidRPr="00DC3FF9" w:rsidRDefault="00AA3A5F" w:rsidP="007A68D5">
            <w:pPr>
              <w:rPr>
                <w:rFonts w:cs="Times New Roman"/>
                <w:sz w:val="20"/>
                <w:szCs w:val="20"/>
                <w:lang w:val="cs-CZ"/>
              </w:rPr>
            </w:pPr>
            <w:r w:rsidRPr="00DC3FF9">
              <w:rPr>
                <w:rFonts w:cs="Times New Roman"/>
                <w:sz w:val="20"/>
                <w:szCs w:val="20"/>
                <w:lang w:val="cs-CZ"/>
              </w:rPr>
              <w:t>2014/2015</w:t>
            </w:r>
          </w:p>
        </w:tc>
        <w:tc>
          <w:tcPr>
            <w:tcW w:w="531" w:type="pct"/>
            <w:tcBorders>
              <w:top w:val="single" w:sz="18" w:space="0" w:color="auto"/>
              <w:left w:val="single" w:sz="6" w:space="0" w:color="auto"/>
              <w:bottom w:val="single" w:sz="12" w:space="0" w:color="auto"/>
              <w:right w:val="single" w:sz="6" w:space="0" w:color="auto"/>
            </w:tcBorders>
            <w:vAlign w:val="center"/>
          </w:tcPr>
          <w:p w14:paraId="07BB88BC" w14:textId="77777777" w:rsidR="00AA3A5F" w:rsidRPr="00DC3FF9" w:rsidRDefault="00AA3A5F" w:rsidP="007A68D5">
            <w:pPr>
              <w:rPr>
                <w:rFonts w:cs="Times New Roman"/>
                <w:sz w:val="20"/>
                <w:szCs w:val="20"/>
                <w:lang w:val="cs-CZ"/>
              </w:rPr>
            </w:pPr>
            <w:r w:rsidRPr="00DC3FF9">
              <w:rPr>
                <w:rFonts w:cs="Times New Roman"/>
                <w:sz w:val="20"/>
                <w:szCs w:val="20"/>
                <w:lang w:val="cs-CZ"/>
              </w:rPr>
              <w:t>2015/2016</w:t>
            </w:r>
          </w:p>
        </w:tc>
        <w:tc>
          <w:tcPr>
            <w:tcW w:w="600" w:type="pct"/>
            <w:tcBorders>
              <w:top w:val="single" w:sz="18" w:space="0" w:color="auto"/>
              <w:left w:val="single" w:sz="6" w:space="0" w:color="auto"/>
              <w:bottom w:val="single" w:sz="12" w:space="0" w:color="auto"/>
              <w:right w:val="single" w:sz="6" w:space="0" w:color="auto"/>
            </w:tcBorders>
            <w:noWrap/>
            <w:tcMar>
              <w:top w:w="0" w:type="dxa"/>
              <w:left w:w="70" w:type="dxa"/>
              <w:bottom w:w="0" w:type="dxa"/>
              <w:right w:w="70" w:type="dxa"/>
            </w:tcMar>
            <w:vAlign w:val="center"/>
          </w:tcPr>
          <w:p w14:paraId="407959D5" w14:textId="77777777" w:rsidR="00AA3A5F" w:rsidRPr="00DC3FF9" w:rsidRDefault="00AA3A5F" w:rsidP="007A68D5">
            <w:pPr>
              <w:rPr>
                <w:rFonts w:cs="Times New Roman"/>
                <w:sz w:val="20"/>
                <w:szCs w:val="20"/>
                <w:lang w:val="cs-CZ"/>
              </w:rPr>
            </w:pPr>
            <w:r w:rsidRPr="00DC3FF9">
              <w:rPr>
                <w:rFonts w:cs="Times New Roman"/>
                <w:sz w:val="20"/>
                <w:szCs w:val="20"/>
                <w:lang w:val="cs-CZ"/>
              </w:rPr>
              <w:t>2016/2017</w:t>
            </w:r>
          </w:p>
        </w:tc>
        <w:tc>
          <w:tcPr>
            <w:tcW w:w="536" w:type="pct"/>
            <w:tcBorders>
              <w:top w:val="single" w:sz="18" w:space="0" w:color="auto"/>
              <w:left w:val="single" w:sz="6" w:space="0" w:color="auto"/>
              <w:bottom w:val="single" w:sz="12" w:space="0" w:color="auto"/>
              <w:right w:val="single" w:sz="12" w:space="0" w:color="auto"/>
            </w:tcBorders>
            <w:vAlign w:val="center"/>
          </w:tcPr>
          <w:p w14:paraId="0A780970" w14:textId="77777777" w:rsidR="00AA3A5F" w:rsidRPr="00DC3FF9" w:rsidRDefault="00AA3A5F" w:rsidP="007A68D5">
            <w:pPr>
              <w:rPr>
                <w:rFonts w:cs="Times New Roman"/>
                <w:sz w:val="20"/>
                <w:szCs w:val="20"/>
                <w:lang w:val="cs-CZ"/>
              </w:rPr>
            </w:pPr>
            <w:r w:rsidRPr="00DC3FF9">
              <w:rPr>
                <w:rFonts w:cs="Times New Roman"/>
                <w:sz w:val="20"/>
                <w:szCs w:val="20"/>
                <w:lang w:val="cs-CZ"/>
              </w:rPr>
              <w:t>2017/2018</w:t>
            </w:r>
          </w:p>
        </w:tc>
        <w:tc>
          <w:tcPr>
            <w:tcW w:w="545" w:type="pct"/>
            <w:tcBorders>
              <w:top w:val="single" w:sz="18" w:space="0" w:color="auto"/>
              <w:left w:val="single" w:sz="12" w:space="0" w:color="auto"/>
              <w:bottom w:val="single" w:sz="12" w:space="0" w:color="auto"/>
              <w:right w:val="single" w:sz="12" w:space="0" w:color="auto"/>
            </w:tcBorders>
            <w:vAlign w:val="center"/>
          </w:tcPr>
          <w:p w14:paraId="3A0EC4FC" w14:textId="77777777" w:rsidR="00AA3A5F" w:rsidRPr="00DC3FF9" w:rsidRDefault="00AA3A5F" w:rsidP="00DC3FF9">
            <w:pPr>
              <w:jc w:val="center"/>
              <w:rPr>
                <w:rFonts w:cs="Times New Roman"/>
                <w:b/>
                <w:bCs/>
                <w:sz w:val="20"/>
                <w:szCs w:val="20"/>
                <w:lang w:val="cs-CZ"/>
              </w:rPr>
            </w:pPr>
            <w:r w:rsidRPr="00DC3FF9">
              <w:rPr>
                <w:rFonts w:cs="Times New Roman"/>
                <w:b/>
                <w:bCs/>
                <w:sz w:val="20"/>
                <w:szCs w:val="20"/>
                <w:lang w:val="cs-CZ"/>
              </w:rPr>
              <w:t>2018/2019</w:t>
            </w:r>
          </w:p>
        </w:tc>
        <w:tc>
          <w:tcPr>
            <w:tcW w:w="584" w:type="pct"/>
            <w:tcBorders>
              <w:top w:val="single" w:sz="18" w:space="0" w:color="auto"/>
              <w:left w:val="single" w:sz="12" w:space="0" w:color="auto"/>
              <w:bottom w:val="single" w:sz="12" w:space="0" w:color="auto"/>
              <w:right w:val="single" w:sz="18" w:space="0" w:color="auto"/>
            </w:tcBorders>
            <w:vAlign w:val="center"/>
          </w:tcPr>
          <w:p w14:paraId="63A7D355" w14:textId="77777777" w:rsidR="00AA3A5F" w:rsidRPr="00DC3FF9" w:rsidRDefault="00AA3A5F" w:rsidP="007A68D5">
            <w:pPr>
              <w:rPr>
                <w:rFonts w:cs="Times New Roman"/>
                <w:b/>
                <w:bCs/>
                <w:sz w:val="20"/>
                <w:szCs w:val="20"/>
                <w:lang w:val="cs-CZ"/>
              </w:rPr>
            </w:pPr>
            <w:r w:rsidRPr="00DC3FF9">
              <w:rPr>
                <w:rFonts w:cs="Times New Roman"/>
                <w:b/>
                <w:bCs/>
                <w:sz w:val="20"/>
                <w:szCs w:val="20"/>
                <w:lang w:val="cs-CZ"/>
              </w:rPr>
              <w:t>CELKEM</w:t>
            </w:r>
          </w:p>
        </w:tc>
      </w:tr>
      <w:tr w:rsidR="00AA3A5F" w:rsidRPr="00DC3FF9" w14:paraId="51E4DC8C" w14:textId="77777777" w:rsidTr="00DC3FF9">
        <w:trPr>
          <w:trHeight w:val="454"/>
        </w:trPr>
        <w:tc>
          <w:tcPr>
            <w:tcW w:w="1003" w:type="pct"/>
            <w:tcBorders>
              <w:top w:val="single" w:sz="12" w:space="0" w:color="auto"/>
              <w:left w:val="single" w:sz="18" w:space="0" w:color="auto"/>
              <w:bottom w:val="single" w:sz="18" w:space="0" w:color="auto"/>
              <w:right w:val="single" w:sz="12" w:space="0" w:color="auto"/>
            </w:tcBorders>
            <w:noWrap/>
            <w:tcMar>
              <w:top w:w="0" w:type="dxa"/>
              <w:left w:w="70" w:type="dxa"/>
              <w:bottom w:w="0" w:type="dxa"/>
              <w:right w:w="70" w:type="dxa"/>
            </w:tcMar>
            <w:vAlign w:val="center"/>
          </w:tcPr>
          <w:p w14:paraId="5531CBC3" w14:textId="77777777" w:rsidR="00AA3A5F" w:rsidRPr="00DC3FF9" w:rsidRDefault="00AA3A5F" w:rsidP="007A68D5">
            <w:pPr>
              <w:rPr>
                <w:rFonts w:cs="Times New Roman"/>
                <w:sz w:val="20"/>
                <w:szCs w:val="20"/>
                <w:lang w:val="cs-CZ"/>
              </w:rPr>
            </w:pPr>
            <w:r w:rsidRPr="00DC3FF9">
              <w:rPr>
                <w:rFonts w:cs="Times New Roman"/>
                <w:sz w:val="20"/>
                <w:szCs w:val="20"/>
                <w:lang w:val="cs-CZ"/>
              </w:rPr>
              <w:t>Vyplacená podpora</w:t>
            </w:r>
          </w:p>
        </w:tc>
        <w:tc>
          <w:tcPr>
            <w:tcW w:w="600" w:type="pct"/>
            <w:tcBorders>
              <w:top w:val="single" w:sz="12" w:space="0" w:color="auto"/>
              <w:left w:val="single" w:sz="12" w:space="0" w:color="auto"/>
              <w:bottom w:val="single" w:sz="18" w:space="0" w:color="auto"/>
              <w:right w:val="single" w:sz="6" w:space="0" w:color="auto"/>
            </w:tcBorders>
            <w:shd w:val="clear" w:color="auto" w:fill="FFFFFF"/>
            <w:noWrap/>
            <w:tcMar>
              <w:top w:w="0" w:type="dxa"/>
              <w:left w:w="70" w:type="dxa"/>
              <w:bottom w:w="0" w:type="dxa"/>
              <w:right w:w="70" w:type="dxa"/>
            </w:tcMar>
            <w:vAlign w:val="center"/>
          </w:tcPr>
          <w:p w14:paraId="7262CFCE" w14:textId="77777777" w:rsidR="00AA3A5F" w:rsidRPr="00DC3FF9" w:rsidRDefault="00AA3A5F" w:rsidP="007A68D5">
            <w:pPr>
              <w:rPr>
                <w:rFonts w:cs="Times New Roman"/>
                <w:sz w:val="20"/>
                <w:szCs w:val="20"/>
                <w:lang w:val="cs-CZ"/>
              </w:rPr>
            </w:pPr>
            <w:r w:rsidRPr="00DC3FF9">
              <w:rPr>
                <w:rFonts w:cs="Times New Roman"/>
                <w:sz w:val="20"/>
                <w:szCs w:val="20"/>
                <w:lang w:val="cs-CZ"/>
              </w:rPr>
              <w:t>102 250</w:t>
            </w:r>
          </w:p>
        </w:tc>
        <w:tc>
          <w:tcPr>
            <w:tcW w:w="600" w:type="pct"/>
            <w:tcBorders>
              <w:top w:val="single" w:sz="12" w:space="0" w:color="auto"/>
              <w:left w:val="single" w:sz="6" w:space="0" w:color="auto"/>
              <w:bottom w:val="single" w:sz="18" w:space="0" w:color="auto"/>
              <w:right w:val="single" w:sz="6" w:space="0" w:color="auto"/>
            </w:tcBorders>
            <w:shd w:val="clear" w:color="auto" w:fill="FFFFFF"/>
            <w:noWrap/>
            <w:tcMar>
              <w:top w:w="0" w:type="dxa"/>
              <w:left w:w="70" w:type="dxa"/>
              <w:bottom w:w="0" w:type="dxa"/>
              <w:right w:w="70" w:type="dxa"/>
            </w:tcMar>
            <w:vAlign w:val="center"/>
          </w:tcPr>
          <w:p w14:paraId="53CAF51D" w14:textId="77777777" w:rsidR="00AA3A5F" w:rsidRPr="00DC3FF9" w:rsidRDefault="00AA3A5F" w:rsidP="007A68D5">
            <w:pPr>
              <w:rPr>
                <w:rFonts w:cs="Times New Roman"/>
                <w:sz w:val="20"/>
                <w:szCs w:val="20"/>
                <w:lang w:val="cs-CZ"/>
              </w:rPr>
            </w:pPr>
            <w:r w:rsidRPr="00DC3FF9">
              <w:rPr>
                <w:rFonts w:cs="Times New Roman"/>
                <w:sz w:val="20"/>
                <w:szCs w:val="20"/>
                <w:lang w:val="cs-CZ"/>
              </w:rPr>
              <w:t>113 602</w:t>
            </w:r>
          </w:p>
        </w:tc>
        <w:tc>
          <w:tcPr>
            <w:tcW w:w="531" w:type="pct"/>
            <w:tcBorders>
              <w:top w:val="single" w:sz="12" w:space="0" w:color="auto"/>
              <w:left w:val="single" w:sz="6" w:space="0" w:color="auto"/>
              <w:bottom w:val="single" w:sz="18" w:space="0" w:color="auto"/>
              <w:right w:val="single" w:sz="6" w:space="0" w:color="auto"/>
            </w:tcBorders>
            <w:shd w:val="clear" w:color="auto" w:fill="FFFFFF"/>
            <w:vAlign w:val="center"/>
          </w:tcPr>
          <w:p w14:paraId="2C2A4D4D" w14:textId="77777777" w:rsidR="00AA3A5F" w:rsidRPr="00DC3FF9" w:rsidRDefault="00AA3A5F" w:rsidP="007A68D5">
            <w:pPr>
              <w:rPr>
                <w:rFonts w:cs="Times New Roman"/>
                <w:sz w:val="20"/>
                <w:szCs w:val="20"/>
                <w:lang w:val="cs-CZ"/>
              </w:rPr>
            </w:pPr>
            <w:r w:rsidRPr="00DC3FF9">
              <w:rPr>
                <w:rFonts w:cs="Times New Roman"/>
                <w:sz w:val="20"/>
                <w:szCs w:val="20"/>
                <w:lang w:val="cs-CZ"/>
              </w:rPr>
              <w:t>111 464</w:t>
            </w:r>
          </w:p>
        </w:tc>
        <w:tc>
          <w:tcPr>
            <w:tcW w:w="600" w:type="pct"/>
            <w:tcBorders>
              <w:top w:val="single" w:sz="12" w:space="0" w:color="auto"/>
              <w:left w:val="single" w:sz="6" w:space="0" w:color="auto"/>
              <w:bottom w:val="single" w:sz="18" w:space="0" w:color="auto"/>
              <w:right w:val="single" w:sz="6" w:space="0" w:color="auto"/>
            </w:tcBorders>
            <w:shd w:val="clear" w:color="auto" w:fill="FFFFFF"/>
            <w:noWrap/>
            <w:tcMar>
              <w:top w:w="0" w:type="dxa"/>
              <w:left w:w="70" w:type="dxa"/>
              <w:bottom w:w="0" w:type="dxa"/>
              <w:right w:w="70" w:type="dxa"/>
            </w:tcMar>
            <w:vAlign w:val="center"/>
          </w:tcPr>
          <w:p w14:paraId="6DE44ECC" w14:textId="77777777" w:rsidR="00AA3A5F" w:rsidRPr="00DC3FF9" w:rsidRDefault="00AA3A5F" w:rsidP="007A68D5">
            <w:pPr>
              <w:rPr>
                <w:rFonts w:cs="Times New Roman"/>
                <w:sz w:val="20"/>
                <w:szCs w:val="20"/>
                <w:lang w:val="cs-CZ"/>
              </w:rPr>
            </w:pPr>
            <w:r w:rsidRPr="00DC3FF9">
              <w:rPr>
                <w:rFonts w:cs="Times New Roman"/>
                <w:sz w:val="20"/>
                <w:szCs w:val="20"/>
                <w:lang w:val="cs-CZ"/>
              </w:rPr>
              <w:t>111 447</w:t>
            </w:r>
          </w:p>
        </w:tc>
        <w:tc>
          <w:tcPr>
            <w:tcW w:w="536" w:type="pct"/>
            <w:tcBorders>
              <w:top w:val="single" w:sz="12" w:space="0" w:color="auto"/>
              <w:left w:val="single" w:sz="6" w:space="0" w:color="auto"/>
              <w:bottom w:val="single" w:sz="18" w:space="0" w:color="auto"/>
              <w:right w:val="single" w:sz="12" w:space="0" w:color="auto"/>
            </w:tcBorders>
            <w:shd w:val="clear" w:color="auto" w:fill="FFFFFF"/>
            <w:vAlign w:val="center"/>
          </w:tcPr>
          <w:p w14:paraId="6AAFE16A" w14:textId="77777777" w:rsidR="00AA3A5F" w:rsidRPr="00DC3FF9" w:rsidRDefault="00AA3A5F" w:rsidP="007A68D5">
            <w:pPr>
              <w:rPr>
                <w:rFonts w:cs="Times New Roman"/>
                <w:sz w:val="20"/>
                <w:szCs w:val="20"/>
                <w:lang w:val="cs-CZ"/>
              </w:rPr>
            </w:pPr>
            <w:r w:rsidRPr="00DC3FF9">
              <w:rPr>
                <w:rFonts w:cs="Times New Roman"/>
                <w:sz w:val="20"/>
                <w:szCs w:val="20"/>
                <w:lang w:val="cs-CZ"/>
              </w:rPr>
              <w:t>109 590</w:t>
            </w:r>
          </w:p>
        </w:tc>
        <w:tc>
          <w:tcPr>
            <w:tcW w:w="545" w:type="pct"/>
            <w:tcBorders>
              <w:top w:val="single" w:sz="12" w:space="0" w:color="auto"/>
              <w:left w:val="single" w:sz="12" w:space="0" w:color="auto"/>
              <w:bottom w:val="single" w:sz="18" w:space="0" w:color="auto"/>
              <w:right w:val="single" w:sz="12" w:space="0" w:color="auto"/>
            </w:tcBorders>
            <w:shd w:val="clear" w:color="auto" w:fill="FFFFFF"/>
            <w:vAlign w:val="center"/>
          </w:tcPr>
          <w:p w14:paraId="7867A2B4" w14:textId="77777777" w:rsidR="00AA3A5F" w:rsidRPr="00DC3FF9" w:rsidRDefault="00AA3A5F" w:rsidP="00DC3FF9">
            <w:pPr>
              <w:jc w:val="center"/>
              <w:rPr>
                <w:rFonts w:cs="Times New Roman"/>
                <w:b/>
                <w:bCs/>
                <w:sz w:val="20"/>
                <w:szCs w:val="20"/>
                <w:lang w:val="cs-CZ"/>
              </w:rPr>
            </w:pPr>
            <w:r w:rsidRPr="00DC3FF9">
              <w:rPr>
                <w:rFonts w:cs="Times New Roman"/>
                <w:b/>
                <w:bCs/>
                <w:sz w:val="20"/>
                <w:szCs w:val="20"/>
                <w:lang w:val="cs-CZ"/>
              </w:rPr>
              <w:t>91 214</w:t>
            </w:r>
          </w:p>
        </w:tc>
        <w:tc>
          <w:tcPr>
            <w:tcW w:w="584" w:type="pct"/>
            <w:tcBorders>
              <w:top w:val="single" w:sz="12" w:space="0" w:color="auto"/>
              <w:left w:val="single" w:sz="12" w:space="0" w:color="auto"/>
              <w:bottom w:val="single" w:sz="18" w:space="0" w:color="auto"/>
              <w:right w:val="single" w:sz="18" w:space="0" w:color="auto"/>
            </w:tcBorders>
            <w:shd w:val="clear" w:color="auto" w:fill="FFFFFF"/>
            <w:vAlign w:val="center"/>
          </w:tcPr>
          <w:p w14:paraId="3AD9D59E" w14:textId="77777777" w:rsidR="00AA3A5F" w:rsidRPr="00DC3FF9" w:rsidRDefault="00AA3A5F" w:rsidP="007A68D5">
            <w:pPr>
              <w:rPr>
                <w:rFonts w:cs="Times New Roman"/>
                <w:b/>
                <w:bCs/>
                <w:sz w:val="20"/>
                <w:szCs w:val="20"/>
                <w:lang w:val="cs-CZ"/>
              </w:rPr>
            </w:pPr>
            <w:r w:rsidRPr="00DC3FF9">
              <w:rPr>
                <w:rFonts w:cs="Times New Roman"/>
                <w:b/>
                <w:bCs/>
                <w:sz w:val="20"/>
                <w:szCs w:val="20"/>
                <w:lang w:val="cs-CZ"/>
              </w:rPr>
              <w:t>639 567</w:t>
            </w:r>
          </w:p>
        </w:tc>
      </w:tr>
    </w:tbl>
    <w:p w14:paraId="53EDD202" w14:textId="77777777" w:rsidR="00AA3A5F" w:rsidRPr="00B25A22" w:rsidRDefault="00AA3A5F" w:rsidP="00DC3FF9">
      <w:pPr>
        <w:pStyle w:val="UZEIZdroj"/>
      </w:pPr>
      <w:r w:rsidRPr="00B25A22">
        <w:t>Pramen: SZIF</w:t>
      </w:r>
    </w:p>
    <w:p w14:paraId="08DB8D2A" w14:textId="46F81BEF" w:rsidR="00AA3A5F" w:rsidRPr="005F142E" w:rsidRDefault="00AA3A5F" w:rsidP="005F142E">
      <w:pPr>
        <w:pStyle w:val="UZEINormaln"/>
      </w:pPr>
      <w:r w:rsidRPr="00B25A22">
        <w:t>Vzhledem k rozdílům mezi finančním a kalendářním rokem nelze přesně vypočítat procento zastoupení restrukturalizovaných vinic. Odhadem jsou každoročně restrukturalizovány z celkové výměry osázených vinic necelá 2 %.</w:t>
      </w:r>
    </w:p>
    <w:p w14:paraId="69C335EF" w14:textId="77777777" w:rsidR="00AA3A5F" w:rsidRPr="005F142E" w:rsidRDefault="00AA3A5F" w:rsidP="005F142E">
      <w:pPr>
        <w:pStyle w:val="UZEINormaln"/>
        <w:rPr>
          <w:u w:val="single"/>
        </w:rPr>
      </w:pPr>
      <w:r w:rsidRPr="005F142E">
        <w:rPr>
          <w:u w:val="single"/>
        </w:rPr>
        <w:t>Investice</w:t>
      </w:r>
    </w:p>
    <w:p w14:paraId="00F8FC14" w14:textId="77777777" w:rsidR="00AA3A5F" w:rsidRPr="00B25A22" w:rsidRDefault="00AA3A5F" w:rsidP="005F142E">
      <w:pPr>
        <w:pStyle w:val="UZEINormaln"/>
      </w:pPr>
      <w:r w:rsidRPr="00B25A22">
        <w:t>Opatření „Investice“ má dvě podopatření – „Zpracovatelské investice“ a „Investice na zlepšení technologie stáčení vín“. V podopatření „Zpracovatelské investice“ jsou aktuálně tři tituly, a to „Dřevěný sud/dřevěná nádoba s minimálním obsahem 600 l“, dále „Speciální kvasná nádoba s aktivním potápěním matolinového klobouku pro výrobu červených vín“ a „Lis na hrozny“. U podopatření „Investice na zlepšení technologie stáčení vín“ je pouze jeden titul. Ve finančním roce 2013/14 byl titulem „Filtr na víno“.  Od následujícího finančního roku 2014/15 byl nahrazen titulem „</w:t>
      </w:r>
      <w:proofErr w:type="spellStart"/>
      <w:r w:rsidRPr="00B25A22">
        <w:t>Cross-flow</w:t>
      </w:r>
      <w:proofErr w:type="spellEnd"/>
      <w:r w:rsidRPr="00B25A22">
        <w:t xml:space="preserve"> filtr“ což platí doposud.</w:t>
      </w:r>
    </w:p>
    <w:p w14:paraId="6AEB2E1B" w14:textId="77777777" w:rsidR="00AA3A5F" w:rsidRPr="00B25A22" w:rsidRDefault="00AA3A5F" w:rsidP="005F142E">
      <w:pPr>
        <w:pStyle w:val="UZEINormaln"/>
      </w:pPr>
      <w:r w:rsidRPr="00B25A22">
        <w:t xml:space="preserve">Vinaři projevili větší zájem o dotační tituly z podopatření „Zpracovatelské investice“, kde byl každoročně minimálně 50 žadatelů. Zájem o podopatření „Investice na zlepšení technologie stáčení vín“ byl enormní ve finančním roce 2013/14, v posledních letech se počet zájemců každoročně držel okolo deseti. </w:t>
      </w:r>
    </w:p>
    <w:p w14:paraId="5B54AD68" w14:textId="77777777" w:rsidR="00AA3A5F" w:rsidRPr="005F142E" w:rsidRDefault="00AA3A5F" w:rsidP="00AA3A5F">
      <w:pPr>
        <w:rPr>
          <w:rFonts w:cs="Times New Roman"/>
          <w:b/>
          <w:sz w:val="20"/>
          <w:szCs w:val="20"/>
          <w:lang w:val="cs-CZ"/>
        </w:rPr>
      </w:pPr>
      <w:r w:rsidRPr="005F142E">
        <w:rPr>
          <w:rFonts w:cs="Times New Roman"/>
          <w:b/>
          <w:sz w:val="20"/>
          <w:szCs w:val="20"/>
          <w:lang w:val="cs-CZ"/>
        </w:rPr>
        <w:t>Tab. P 2.6: Počet žádostí a vyplacené částky na jednotlivá podopatření podle finančních let</w:t>
      </w:r>
    </w:p>
    <w:tbl>
      <w:tblPr>
        <w:tblW w:w="5000" w:type="pct"/>
        <w:tblCellMar>
          <w:left w:w="70" w:type="dxa"/>
          <w:right w:w="70" w:type="dxa"/>
        </w:tblCellMar>
        <w:tblLook w:val="04A0" w:firstRow="1" w:lastRow="0" w:firstColumn="1" w:lastColumn="0" w:noHBand="0" w:noVBand="1"/>
      </w:tblPr>
      <w:tblGrid>
        <w:gridCol w:w="1246"/>
        <w:gridCol w:w="1451"/>
        <w:gridCol w:w="1107"/>
        <w:gridCol w:w="796"/>
        <w:gridCol w:w="1451"/>
        <w:gridCol w:w="1382"/>
        <w:gridCol w:w="1563"/>
      </w:tblGrid>
      <w:tr w:rsidR="00AA3A5F" w:rsidRPr="000703B9" w14:paraId="3196CCFA" w14:textId="77777777" w:rsidTr="007A68D5">
        <w:trPr>
          <w:trHeight w:val="351"/>
        </w:trPr>
        <w:tc>
          <w:tcPr>
            <w:tcW w:w="616" w:type="pct"/>
            <w:tcBorders>
              <w:top w:val="single" w:sz="12" w:space="0" w:color="auto"/>
              <w:left w:val="single" w:sz="12" w:space="0" w:color="auto"/>
              <w:bottom w:val="nil"/>
              <w:right w:val="nil"/>
            </w:tcBorders>
            <w:shd w:val="clear" w:color="auto" w:fill="auto"/>
            <w:noWrap/>
            <w:vAlign w:val="bottom"/>
            <w:hideMark/>
          </w:tcPr>
          <w:p w14:paraId="5A8D4DDD" w14:textId="77777777" w:rsidR="00AA3A5F" w:rsidRPr="005F142E" w:rsidRDefault="00AA3A5F" w:rsidP="007A68D5">
            <w:pPr>
              <w:rPr>
                <w:rFonts w:cs="Times New Roman"/>
                <w:sz w:val="20"/>
                <w:szCs w:val="20"/>
                <w:lang w:val="cs-CZ"/>
              </w:rPr>
            </w:pPr>
          </w:p>
        </w:tc>
        <w:tc>
          <w:tcPr>
            <w:tcW w:w="1744" w:type="pct"/>
            <w:gridSpan w:val="3"/>
            <w:tcBorders>
              <w:top w:val="single" w:sz="12" w:space="0" w:color="auto"/>
              <w:left w:val="single" w:sz="8" w:space="0" w:color="auto"/>
              <w:bottom w:val="single" w:sz="8" w:space="0" w:color="auto"/>
              <w:right w:val="single" w:sz="4" w:space="0" w:color="auto"/>
            </w:tcBorders>
            <w:shd w:val="clear" w:color="auto" w:fill="auto"/>
            <w:noWrap/>
            <w:vAlign w:val="bottom"/>
            <w:hideMark/>
          </w:tcPr>
          <w:p w14:paraId="79F10461" w14:textId="77777777" w:rsidR="00AA3A5F" w:rsidRPr="005F142E" w:rsidRDefault="00AA3A5F" w:rsidP="007A68D5">
            <w:pPr>
              <w:jc w:val="center"/>
              <w:rPr>
                <w:rFonts w:cs="Times New Roman"/>
                <w:color w:val="000000"/>
                <w:sz w:val="20"/>
                <w:szCs w:val="20"/>
                <w:lang w:val="cs-CZ"/>
              </w:rPr>
            </w:pPr>
            <w:r w:rsidRPr="005F142E">
              <w:rPr>
                <w:rFonts w:cs="Times New Roman"/>
                <w:color w:val="000000"/>
                <w:sz w:val="20"/>
                <w:szCs w:val="20"/>
                <w:lang w:val="cs-CZ"/>
              </w:rPr>
              <w:t>Počet žádostí</w:t>
            </w:r>
          </w:p>
        </w:tc>
        <w:tc>
          <w:tcPr>
            <w:tcW w:w="2640" w:type="pct"/>
            <w:gridSpan w:val="3"/>
            <w:tcBorders>
              <w:top w:val="single" w:sz="12" w:space="0" w:color="auto"/>
              <w:left w:val="single" w:sz="8" w:space="0" w:color="auto"/>
              <w:bottom w:val="single" w:sz="8" w:space="0" w:color="auto"/>
              <w:right w:val="single" w:sz="12" w:space="0" w:color="auto"/>
            </w:tcBorders>
            <w:shd w:val="clear" w:color="auto" w:fill="auto"/>
            <w:noWrap/>
            <w:vAlign w:val="bottom"/>
            <w:hideMark/>
          </w:tcPr>
          <w:p w14:paraId="2E41E910" w14:textId="77777777" w:rsidR="00AA3A5F" w:rsidRPr="005F142E" w:rsidRDefault="00AA3A5F" w:rsidP="007A68D5">
            <w:pPr>
              <w:jc w:val="center"/>
              <w:rPr>
                <w:rFonts w:cs="Times New Roman"/>
                <w:color w:val="000000"/>
                <w:sz w:val="20"/>
                <w:szCs w:val="20"/>
                <w:lang w:val="cs-CZ"/>
              </w:rPr>
            </w:pPr>
            <w:r w:rsidRPr="005F142E">
              <w:rPr>
                <w:rFonts w:cs="Times New Roman"/>
                <w:color w:val="000000"/>
                <w:sz w:val="20"/>
                <w:szCs w:val="20"/>
                <w:lang w:val="cs-CZ"/>
              </w:rPr>
              <w:t>Vyplacená částka v tis. Kč</w:t>
            </w:r>
          </w:p>
        </w:tc>
      </w:tr>
      <w:tr w:rsidR="00AA3A5F" w:rsidRPr="005F142E" w14:paraId="096188DF" w14:textId="77777777" w:rsidTr="007A68D5">
        <w:trPr>
          <w:trHeight w:val="1070"/>
        </w:trPr>
        <w:tc>
          <w:tcPr>
            <w:tcW w:w="616" w:type="pct"/>
            <w:tcBorders>
              <w:top w:val="single" w:sz="8" w:space="0" w:color="auto"/>
              <w:left w:val="single" w:sz="12" w:space="0" w:color="auto"/>
              <w:bottom w:val="single" w:sz="8" w:space="0" w:color="auto"/>
              <w:right w:val="single" w:sz="4" w:space="0" w:color="auto"/>
            </w:tcBorders>
            <w:shd w:val="clear" w:color="auto" w:fill="auto"/>
            <w:noWrap/>
            <w:vAlign w:val="center"/>
            <w:hideMark/>
          </w:tcPr>
          <w:p w14:paraId="01425536" w14:textId="77777777" w:rsidR="00AA3A5F" w:rsidRPr="005F142E" w:rsidRDefault="00AA3A5F" w:rsidP="007A68D5">
            <w:pPr>
              <w:jc w:val="center"/>
              <w:rPr>
                <w:rFonts w:cs="Times New Roman"/>
                <w:b/>
                <w:bCs/>
                <w:color w:val="000000"/>
                <w:sz w:val="20"/>
                <w:szCs w:val="20"/>
                <w:lang w:val="cs-CZ"/>
              </w:rPr>
            </w:pPr>
            <w:r w:rsidRPr="005F142E">
              <w:rPr>
                <w:rFonts w:cs="Times New Roman"/>
                <w:b/>
                <w:bCs/>
                <w:color w:val="000000"/>
                <w:sz w:val="20"/>
                <w:szCs w:val="20"/>
                <w:lang w:val="cs-CZ"/>
              </w:rPr>
              <w:t>Finanční rok</w:t>
            </w:r>
          </w:p>
        </w:tc>
        <w:tc>
          <w:tcPr>
            <w:tcW w:w="743" w:type="pct"/>
            <w:tcBorders>
              <w:top w:val="nil"/>
              <w:left w:val="nil"/>
              <w:bottom w:val="single" w:sz="8" w:space="0" w:color="auto"/>
              <w:right w:val="single" w:sz="4" w:space="0" w:color="auto"/>
            </w:tcBorders>
            <w:shd w:val="clear" w:color="auto" w:fill="auto"/>
            <w:vAlign w:val="center"/>
            <w:hideMark/>
          </w:tcPr>
          <w:p w14:paraId="68CBA98B" w14:textId="77777777" w:rsidR="00AA3A5F" w:rsidRPr="005F142E" w:rsidRDefault="00AA3A5F" w:rsidP="005F142E">
            <w:pPr>
              <w:jc w:val="center"/>
              <w:rPr>
                <w:rFonts w:cs="Times New Roman"/>
                <w:b/>
                <w:bCs/>
                <w:color w:val="000000"/>
                <w:sz w:val="20"/>
                <w:szCs w:val="20"/>
                <w:lang w:val="cs-CZ"/>
              </w:rPr>
            </w:pPr>
            <w:r w:rsidRPr="005F142E">
              <w:rPr>
                <w:rFonts w:cs="Times New Roman"/>
                <w:b/>
                <w:bCs/>
                <w:color w:val="000000"/>
                <w:sz w:val="20"/>
                <w:szCs w:val="20"/>
                <w:lang w:val="cs-CZ"/>
              </w:rPr>
              <w:t>Zpracovatelské investice</w:t>
            </w:r>
          </w:p>
        </w:tc>
        <w:tc>
          <w:tcPr>
            <w:tcW w:w="596" w:type="pct"/>
            <w:tcBorders>
              <w:top w:val="nil"/>
              <w:left w:val="nil"/>
              <w:bottom w:val="single" w:sz="8" w:space="0" w:color="auto"/>
              <w:right w:val="nil"/>
            </w:tcBorders>
            <w:shd w:val="clear" w:color="000000" w:fill="FFFFFF"/>
            <w:vAlign w:val="center"/>
            <w:hideMark/>
          </w:tcPr>
          <w:p w14:paraId="68342AC9" w14:textId="77777777" w:rsidR="00AA3A5F" w:rsidRPr="005F142E" w:rsidRDefault="00AA3A5F" w:rsidP="005F142E">
            <w:pPr>
              <w:jc w:val="center"/>
              <w:rPr>
                <w:rFonts w:cs="Times New Roman"/>
                <w:b/>
                <w:bCs/>
                <w:color w:val="000000"/>
                <w:sz w:val="20"/>
                <w:szCs w:val="20"/>
                <w:lang w:val="cs-CZ"/>
              </w:rPr>
            </w:pPr>
            <w:r w:rsidRPr="005F142E">
              <w:rPr>
                <w:rFonts w:cs="Times New Roman"/>
                <w:b/>
                <w:bCs/>
                <w:color w:val="000000"/>
                <w:sz w:val="20"/>
                <w:szCs w:val="20"/>
                <w:lang w:val="cs-CZ"/>
              </w:rPr>
              <w:t>Investice na zlepšení technologie stáčení vín</w:t>
            </w:r>
          </w:p>
        </w:tc>
        <w:tc>
          <w:tcPr>
            <w:tcW w:w="404" w:type="pct"/>
            <w:tcBorders>
              <w:top w:val="nil"/>
              <w:left w:val="single" w:sz="8" w:space="0" w:color="auto"/>
              <w:bottom w:val="single" w:sz="8" w:space="0" w:color="auto"/>
              <w:right w:val="single" w:sz="8" w:space="0" w:color="auto"/>
            </w:tcBorders>
            <w:shd w:val="clear" w:color="000000" w:fill="FFFFFF"/>
            <w:vAlign w:val="center"/>
            <w:hideMark/>
          </w:tcPr>
          <w:p w14:paraId="345A5EE6" w14:textId="77777777" w:rsidR="00AA3A5F" w:rsidRPr="005F142E" w:rsidRDefault="00AA3A5F" w:rsidP="005F142E">
            <w:pPr>
              <w:jc w:val="center"/>
              <w:rPr>
                <w:rFonts w:cs="Times New Roman"/>
                <w:b/>
                <w:bCs/>
                <w:color w:val="000000"/>
                <w:sz w:val="20"/>
                <w:szCs w:val="20"/>
                <w:lang w:val="cs-CZ"/>
              </w:rPr>
            </w:pPr>
            <w:r w:rsidRPr="005F142E">
              <w:rPr>
                <w:rFonts w:cs="Times New Roman"/>
                <w:b/>
                <w:bCs/>
                <w:color w:val="000000"/>
                <w:sz w:val="20"/>
                <w:szCs w:val="20"/>
                <w:lang w:val="cs-CZ"/>
              </w:rPr>
              <w:t>Celkem</w:t>
            </w:r>
          </w:p>
        </w:tc>
        <w:tc>
          <w:tcPr>
            <w:tcW w:w="826" w:type="pct"/>
            <w:tcBorders>
              <w:top w:val="nil"/>
              <w:left w:val="nil"/>
              <w:bottom w:val="single" w:sz="8" w:space="0" w:color="auto"/>
              <w:right w:val="single" w:sz="4" w:space="0" w:color="auto"/>
            </w:tcBorders>
            <w:shd w:val="clear" w:color="auto" w:fill="auto"/>
            <w:vAlign w:val="center"/>
            <w:hideMark/>
          </w:tcPr>
          <w:p w14:paraId="09F77D64" w14:textId="77777777" w:rsidR="00AA3A5F" w:rsidRPr="005F142E" w:rsidRDefault="00AA3A5F" w:rsidP="005F142E">
            <w:pPr>
              <w:jc w:val="center"/>
              <w:rPr>
                <w:rFonts w:cs="Times New Roman"/>
                <w:b/>
                <w:bCs/>
                <w:color w:val="000000"/>
                <w:sz w:val="20"/>
                <w:szCs w:val="20"/>
                <w:lang w:val="cs-CZ"/>
              </w:rPr>
            </w:pPr>
            <w:r w:rsidRPr="005F142E">
              <w:rPr>
                <w:rFonts w:cs="Times New Roman"/>
                <w:b/>
                <w:bCs/>
                <w:color w:val="000000"/>
                <w:sz w:val="20"/>
                <w:szCs w:val="20"/>
                <w:lang w:val="cs-CZ"/>
              </w:rPr>
              <w:t>Zpracovatelské investice</w:t>
            </w:r>
          </w:p>
        </w:tc>
        <w:tc>
          <w:tcPr>
            <w:tcW w:w="880" w:type="pct"/>
            <w:tcBorders>
              <w:top w:val="nil"/>
              <w:left w:val="nil"/>
              <w:bottom w:val="single" w:sz="8" w:space="0" w:color="auto"/>
              <w:right w:val="nil"/>
            </w:tcBorders>
            <w:shd w:val="clear" w:color="000000" w:fill="FFFFFF"/>
            <w:vAlign w:val="center"/>
            <w:hideMark/>
          </w:tcPr>
          <w:p w14:paraId="76922504" w14:textId="77777777" w:rsidR="00AA3A5F" w:rsidRPr="005F142E" w:rsidRDefault="00AA3A5F" w:rsidP="005F142E">
            <w:pPr>
              <w:jc w:val="center"/>
              <w:rPr>
                <w:rFonts w:cs="Times New Roman"/>
                <w:b/>
                <w:bCs/>
                <w:color w:val="000000"/>
                <w:sz w:val="20"/>
                <w:szCs w:val="20"/>
                <w:lang w:val="cs-CZ"/>
              </w:rPr>
            </w:pPr>
            <w:r w:rsidRPr="005F142E">
              <w:rPr>
                <w:rFonts w:cs="Times New Roman"/>
                <w:b/>
                <w:bCs/>
                <w:color w:val="000000"/>
                <w:sz w:val="20"/>
                <w:szCs w:val="20"/>
                <w:lang w:val="cs-CZ"/>
              </w:rPr>
              <w:t>Investice na zlepšení technologie stáčení vín</w:t>
            </w:r>
          </w:p>
        </w:tc>
        <w:tc>
          <w:tcPr>
            <w:tcW w:w="934" w:type="pct"/>
            <w:tcBorders>
              <w:top w:val="nil"/>
              <w:left w:val="single" w:sz="8" w:space="0" w:color="auto"/>
              <w:bottom w:val="single" w:sz="8" w:space="0" w:color="auto"/>
              <w:right w:val="single" w:sz="12" w:space="0" w:color="auto"/>
            </w:tcBorders>
            <w:shd w:val="clear" w:color="000000" w:fill="FFFFFF"/>
            <w:vAlign w:val="center"/>
            <w:hideMark/>
          </w:tcPr>
          <w:p w14:paraId="5FA2F36D" w14:textId="77777777" w:rsidR="00AA3A5F" w:rsidRPr="005F142E" w:rsidRDefault="00AA3A5F" w:rsidP="005F142E">
            <w:pPr>
              <w:jc w:val="center"/>
              <w:rPr>
                <w:rFonts w:cs="Times New Roman"/>
                <w:b/>
                <w:bCs/>
                <w:color w:val="000000"/>
                <w:sz w:val="20"/>
                <w:szCs w:val="20"/>
                <w:lang w:val="cs-CZ"/>
              </w:rPr>
            </w:pPr>
            <w:r w:rsidRPr="005F142E">
              <w:rPr>
                <w:rFonts w:cs="Times New Roman"/>
                <w:b/>
                <w:bCs/>
                <w:color w:val="000000"/>
                <w:sz w:val="20"/>
                <w:szCs w:val="20"/>
                <w:lang w:val="cs-CZ"/>
              </w:rPr>
              <w:t>Celkem</w:t>
            </w:r>
          </w:p>
        </w:tc>
      </w:tr>
      <w:tr w:rsidR="00AA3A5F" w:rsidRPr="005F142E" w14:paraId="7EDFD608" w14:textId="77777777" w:rsidTr="007A68D5">
        <w:trPr>
          <w:trHeight w:val="334"/>
        </w:trPr>
        <w:tc>
          <w:tcPr>
            <w:tcW w:w="616" w:type="pct"/>
            <w:tcBorders>
              <w:top w:val="nil"/>
              <w:left w:val="single" w:sz="12" w:space="0" w:color="auto"/>
              <w:bottom w:val="single" w:sz="4" w:space="0" w:color="auto"/>
              <w:right w:val="single" w:sz="8" w:space="0" w:color="auto"/>
            </w:tcBorders>
            <w:shd w:val="clear" w:color="auto" w:fill="auto"/>
            <w:noWrap/>
            <w:vAlign w:val="center"/>
            <w:hideMark/>
          </w:tcPr>
          <w:p w14:paraId="7DCC988B" w14:textId="77777777" w:rsidR="00AA3A5F" w:rsidRPr="005F142E" w:rsidRDefault="00AA3A5F" w:rsidP="007A68D5">
            <w:pPr>
              <w:jc w:val="left"/>
              <w:rPr>
                <w:rFonts w:cs="Times New Roman"/>
                <w:color w:val="000000"/>
                <w:sz w:val="20"/>
                <w:szCs w:val="20"/>
                <w:lang w:val="cs-CZ"/>
              </w:rPr>
            </w:pPr>
            <w:r w:rsidRPr="005F142E">
              <w:rPr>
                <w:rFonts w:cs="Times New Roman"/>
                <w:color w:val="000000"/>
                <w:sz w:val="20"/>
                <w:szCs w:val="20"/>
                <w:lang w:val="cs-CZ"/>
              </w:rPr>
              <w:t>2013/2014</w:t>
            </w:r>
          </w:p>
        </w:tc>
        <w:tc>
          <w:tcPr>
            <w:tcW w:w="743" w:type="pct"/>
            <w:tcBorders>
              <w:top w:val="nil"/>
              <w:left w:val="nil"/>
              <w:bottom w:val="single" w:sz="4" w:space="0" w:color="auto"/>
              <w:right w:val="single" w:sz="4" w:space="0" w:color="auto"/>
            </w:tcBorders>
            <w:shd w:val="clear" w:color="000000" w:fill="FFFFFF"/>
            <w:vAlign w:val="center"/>
            <w:hideMark/>
          </w:tcPr>
          <w:p w14:paraId="2D04FBEA"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93</w:t>
            </w:r>
          </w:p>
        </w:tc>
        <w:tc>
          <w:tcPr>
            <w:tcW w:w="596" w:type="pct"/>
            <w:tcBorders>
              <w:top w:val="nil"/>
              <w:left w:val="nil"/>
              <w:bottom w:val="single" w:sz="4" w:space="0" w:color="auto"/>
              <w:right w:val="nil"/>
            </w:tcBorders>
            <w:shd w:val="clear" w:color="000000" w:fill="FFFFFF"/>
            <w:vAlign w:val="center"/>
            <w:hideMark/>
          </w:tcPr>
          <w:p w14:paraId="33411DBF"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69</w:t>
            </w:r>
          </w:p>
        </w:tc>
        <w:tc>
          <w:tcPr>
            <w:tcW w:w="404" w:type="pct"/>
            <w:tcBorders>
              <w:top w:val="nil"/>
              <w:left w:val="single" w:sz="8" w:space="0" w:color="auto"/>
              <w:bottom w:val="single" w:sz="4" w:space="0" w:color="auto"/>
              <w:right w:val="single" w:sz="8" w:space="0" w:color="auto"/>
            </w:tcBorders>
            <w:shd w:val="clear" w:color="000000" w:fill="FFFFFF"/>
            <w:vAlign w:val="center"/>
            <w:hideMark/>
          </w:tcPr>
          <w:p w14:paraId="641EE4C7"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162</w:t>
            </w:r>
          </w:p>
        </w:tc>
        <w:tc>
          <w:tcPr>
            <w:tcW w:w="826" w:type="pct"/>
            <w:tcBorders>
              <w:top w:val="nil"/>
              <w:left w:val="nil"/>
              <w:bottom w:val="single" w:sz="4" w:space="0" w:color="auto"/>
              <w:right w:val="single" w:sz="4" w:space="0" w:color="auto"/>
            </w:tcBorders>
            <w:shd w:val="clear" w:color="000000" w:fill="FFFFFF"/>
            <w:vAlign w:val="center"/>
            <w:hideMark/>
          </w:tcPr>
          <w:p w14:paraId="103B8F92"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10 334,3</w:t>
            </w:r>
          </w:p>
        </w:tc>
        <w:tc>
          <w:tcPr>
            <w:tcW w:w="880" w:type="pct"/>
            <w:tcBorders>
              <w:top w:val="nil"/>
              <w:left w:val="nil"/>
              <w:bottom w:val="single" w:sz="4" w:space="0" w:color="auto"/>
              <w:right w:val="nil"/>
            </w:tcBorders>
            <w:shd w:val="clear" w:color="000000" w:fill="FFFFFF"/>
            <w:vAlign w:val="center"/>
            <w:hideMark/>
          </w:tcPr>
          <w:p w14:paraId="57FF8F62"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17 942,8</w:t>
            </w:r>
          </w:p>
        </w:tc>
        <w:tc>
          <w:tcPr>
            <w:tcW w:w="934" w:type="pct"/>
            <w:tcBorders>
              <w:top w:val="nil"/>
              <w:left w:val="single" w:sz="8" w:space="0" w:color="auto"/>
              <w:bottom w:val="single" w:sz="4" w:space="0" w:color="auto"/>
              <w:right w:val="single" w:sz="12" w:space="0" w:color="auto"/>
            </w:tcBorders>
            <w:shd w:val="clear" w:color="auto" w:fill="auto"/>
            <w:noWrap/>
            <w:vAlign w:val="bottom"/>
            <w:hideMark/>
          </w:tcPr>
          <w:p w14:paraId="022C770D"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28 277,1</w:t>
            </w:r>
          </w:p>
        </w:tc>
      </w:tr>
      <w:tr w:rsidR="00AA3A5F" w:rsidRPr="005F142E" w14:paraId="4ACC6005" w14:textId="77777777" w:rsidTr="007A68D5">
        <w:trPr>
          <w:trHeight w:val="334"/>
        </w:trPr>
        <w:tc>
          <w:tcPr>
            <w:tcW w:w="616" w:type="pct"/>
            <w:tcBorders>
              <w:top w:val="nil"/>
              <w:left w:val="single" w:sz="12" w:space="0" w:color="auto"/>
              <w:bottom w:val="single" w:sz="4" w:space="0" w:color="auto"/>
              <w:right w:val="single" w:sz="8" w:space="0" w:color="auto"/>
            </w:tcBorders>
            <w:shd w:val="clear" w:color="auto" w:fill="auto"/>
            <w:noWrap/>
            <w:vAlign w:val="center"/>
            <w:hideMark/>
          </w:tcPr>
          <w:p w14:paraId="6C22E678" w14:textId="77777777" w:rsidR="00AA3A5F" w:rsidRPr="005F142E" w:rsidRDefault="00AA3A5F" w:rsidP="007A68D5">
            <w:pPr>
              <w:jc w:val="left"/>
              <w:rPr>
                <w:rFonts w:cs="Times New Roman"/>
                <w:color w:val="000000"/>
                <w:sz w:val="20"/>
                <w:szCs w:val="20"/>
                <w:lang w:val="cs-CZ"/>
              </w:rPr>
            </w:pPr>
            <w:r w:rsidRPr="005F142E">
              <w:rPr>
                <w:rFonts w:cs="Times New Roman"/>
                <w:color w:val="000000"/>
                <w:sz w:val="20"/>
                <w:szCs w:val="20"/>
                <w:lang w:val="cs-CZ"/>
              </w:rPr>
              <w:t>2014/2015</w:t>
            </w:r>
          </w:p>
        </w:tc>
        <w:tc>
          <w:tcPr>
            <w:tcW w:w="743" w:type="pct"/>
            <w:tcBorders>
              <w:top w:val="nil"/>
              <w:left w:val="nil"/>
              <w:bottom w:val="single" w:sz="4" w:space="0" w:color="auto"/>
              <w:right w:val="single" w:sz="4" w:space="0" w:color="auto"/>
            </w:tcBorders>
            <w:shd w:val="clear" w:color="000000" w:fill="FFFFFF"/>
            <w:vAlign w:val="center"/>
            <w:hideMark/>
          </w:tcPr>
          <w:p w14:paraId="11F07A37"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58</w:t>
            </w:r>
          </w:p>
        </w:tc>
        <w:tc>
          <w:tcPr>
            <w:tcW w:w="596" w:type="pct"/>
            <w:tcBorders>
              <w:top w:val="nil"/>
              <w:left w:val="nil"/>
              <w:bottom w:val="single" w:sz="4" w:space="0" w:color="auto"/>
              <w:right w:val="nil"/>
            </w:tcBorders>
            <w:shd w:val="clear" w:color="000000" w:fill="FFFFFF"/>
            <w:vAlign w:val="center"/>
            <w:hideMark/>
          </w:tcPr>
          <w:p w14:paraId="518D43C1"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10</w:t>
            </w:r>
          </w:p>
        </w:tc>
        <w:tc>
          <w:tcPr>
            <w:tcW w:w="404" w:type="pct"/>
            <w:tcBorders>
              <w:top w:val="nil"/>
              <w:left w:val="single" w:sz="8" w:space="0" w:color="auto"/>
              <w:bottom w:val="single" w:sz="4" w:space="0" w:color="auto"/>
              <w:right w:val="single" w:sz="8" w:space="0" w:color="auto"/>
            </w:tcBorders>
            <w:shd w:val="clear" w:color="000000" w:fill="FFFFFF"/>
            <w:vAlign w:val="center"/>
            <w:hideMark/>
          </w:tcPr>
          <w:p w14:paraId="336D30A9"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68</w:t>
            </w:r>
          </w:p>
        </w:tc>
        <w:tc>
          <w:tcPr>
            <w:tcW w:w="826" w:type="pct"/>
            <w:tcBorders>
              <w:top w:val="nil"/>
              <w:left w:val="nil"/>
              <w:bottom w:val="single" w:sz="4" w:space="0" w:color="auto"/>
              <w:right w:val="single" w:sz="4" w:space="0" w:color="auto"/>
            </w:tcBorders>
            <w:shd w:val="clear" w:color="000000" w:fill="FFFFFF"/>
            <w:vAlign w:val="center"/>
            <w:hideMark/>
          </w:tcPr>
          <w:p w14:paraId="7EF08C4C"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6 793,7</w:t>
            </w:r>
          </w:p>
        </w:tc>
        <w:tc>
          <w:tcPr>
            <w:tcW w:w="880" w:type="pct"/>
            <w:tcBorders>
              <w:top w:val="nil"/>
              <w:left w:val="nil"/>
              <w:bottom w:val="single" w:sz="4" w:space="0" w:color="auto"/>
              <w:right w:val="nil"/>
            </w:tcBorders>
            <w:shd w:val="clear" w:color="000000" w:fill="FFFFFF"/>
            <w:vAlign w:val="center"/>
            <w:hideMark/>
          </w:tcPr>
          <w:p w14:paraId="6D4335B2"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21 800,9</w:t>
            </w:r>
          </w:p>
        </w:tc>
        <w:tc>
          <w:tcPr>
            <w:tcW w:w="934" w:type="pct"/>
            <w:tcBorders>
              <w:top w:val="nil"/>
              <w:left w:val="single" w:sz="8" w:space="0" w:color="auto"/>
              <w:bottom w:val="single" w:sz="4" w:space="0" w:color="auto"/>
              <w:right w:val="single" w:sz="12" w:space="0" w:color="auto"/>
            </w:tcBorders>
            <w:shd w:val="clear" w:color="auto" w:fill="auto"/>
            <w:noWrap/>
            <w:vAlign w:val="bottom"/>
            <w:hideMark/>
          </w:tcPr>
          <w:p w14:paraId="466FD1B1"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28 594,6</w:t>
            </w:r>
          </w:p>
        </w:tc>
      </w:tr>
      <w:tr w:rsidR="00AA3A5F" w:rsidRPr="005F142E" w14:paraId="079AD968" w14:textId="77777777" w:rsidTr="007A68D5">
        <w:trPr>
          <w:trHeight w:val="334"/>
        </w:trPr>
        <w:tc>
          <w:tcPr>
            <w:tcW w:w="616" w:type="pct"/>
            <w:tcBorders>
              <w:top w:val="nil"/>
              <w:left w:val="single" w:sz="12" w:space="0" w:color="auto"/>
              <w:bottom w:val="single" w:sz="4" w:space="0" w:color="auto"/>
              <w:right w:val="single" w:sz="8" w:space="0" w:color="auto"/>
            </w:tcBorders>
            <w:shd w:val="clear" w:color="auto" w:fill="auto"/>
            <w:noWrap/>
            <w:vAlign w:val="center"/>
            <w:hideMark/>
          </w:tcPr>
          <w:p w14:paraId="1D8C8F2A" w14:textId="77777777" w:rsidR="00AA3A5F" w:rsidRPr="005F142E" w:rsidRDefault="00AA3A5F" w:rsidP="007A68D5">
            <w:pPr>
              <w:jc w:val="left"/>
              <w:rPr>
                <w:rFonts w:cs="Times New Roman"/>
                <w:color w:val="000000"/>
                <w:sz w:val="20"/>
                <w:szCs w:val="20"/>
                <w:lang w:val="cs-CZ"/>
              </w:rPr>
            </w:pPr>
            <w:r w:rsidRPr="005F142E">
              <w:rPr>
                <w:rFonts w:cs="Times New Roman"/>
                <w:color w:val="000000"/>
                <w:sz w:val="20"/>
                <w:szCs w:val="20"/>
                <w:lang w:val="cs-CZ"/>
              </w:rPr>
              <w:t>2015/2016</w:t>
            </w:r>
          </w:p>
        </w:tc>
        <w:tc>
          <w:tcPr>
            <w:tcW w:w="743" w:type="pct"/>
            <w:tcBorders>
              <w:top w:val="nil"/>
              <w:left w:val="nil"/>
              <w:bottom w:val="single" w:sz="4" w:space="0" w:color="auto"/>
              <w:right w:val="single" w:sz="4" w:space="0" w:color="auto"/>
            </w:tcBorders>
            <w:shd w:val="clear" w:color="000000" w:fill="FFFFFF"/>
            <w:vAlign w:val="center"/>
            <w:hideMark/>
          </w:tcPr>
          <w:p w14:paraId="345CEE96"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66</w:t>
            </w:r>
          </w:p>
        </w:tc>
        <w:tc>
          <w:tcPr>
            <w:tcW w:w="596" w:type="pct"/>
            <w:tcBorders>
              <w:top w:val="nil"/>
              <w:left w:val="nil"/>
              <w:bottom w:val="single" w:sz="4" w:space="0" w:color="auto"/>
              <w:right w:val="nil"/>
            </w:tcBorders>
            <w:shd w:val="clear" w:color="000000" w:fill="FFFFFF"/>
            <w:vAlign w:val="center"/>
            <w:hideMark/>
          </w:tcPr>
          <w:p w14:paraId="6C39D066"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12</w:t>
            </w:r>
          </w:p>
        </w:tc>
        <w:tc>
          <w:tcPr>
            <w:tcW w:w="404" w:type="pct"/>
            <w:tcBorders>
              <w:top w:val="nil"/>
              <w:left w:val="single" w:sz="8" w:space="0" w:color="auto"/>
              <w:bottom w:val="single" w:sz="4" w:space="0" w:color="auto"/>
              <w:right w:val="single" w:sz="8" w:space="0" w:color="auto"/>
            </w:tcBorders>
            <w:shd w:val="clear" w:color="000000" w:fill="FFFFFF"/>
            <w:vAlign w:val="center"/>
            <w:hideMark/>
          </w:tcPr>
          <w:p w14:paraId="00FCC614"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78</w:t>
            </w:r>
          </w:p>
        </w:tc>
        <w:tc>
          <w:tcPr>
            <w:tcW w:w="826" w:type="pct"/>
            <w:tcBorders>
              <w:top w:val="nil"/>
              <w:left w:val="nil"/>
              <w:bottom w:val="single" w:sz="4" w:space="0" w:color="auto"/>
              <w:right w:val="single" w:sz="4" w:space="0" w:color="auto"/>
            </w:tcBorders>
            <w:shd w:val="clear" w:color="000000" w:fill="FFFFFF"/>
            <w:vAlign w:val="center"/>
            <w:hideMark/>
          </w:tcPr>
          <w:p w14:paraId="7C47ABD4"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10 373,1</w:t>
            </w:r>
          </w:p>
        </w:tc>
        <w:tc>
          <w:tcPr>
            <w:tcW w:w="880" w:type="pct"/>
            <w:tcBorders>
              <w:top w:val="nil"/>
              <w:left w:val="nil"/>
              <w:bottom w:val="single" w:sz="4" w:space="0" w:color="auto"/>
              <w:right w:val="nil"/>
            </w:tcBorders>
            <w:shd w:val="clear" w:color="000000" w:fill="FFFFFF"/>
            <w:vAlign w:val="center"/>
            <w:hideMark/>
          </w:tcPr>
          <w:p w14:paraId="6497D78E"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17 487,6</w:t>
            </w:r>
          </w:p>
        </w:tc>
        <w:tc>
          <w:tcPr>
            <w:tcW w:w="934" w:type="pct"/>
            <w:tcBorders>
              <w:top w:val="nil"/>
              <w:left w:val="single" w:sz="8" w:space="0" w:color="auto"/>
              <w:bottom w:val="single" w:sz="4" w:space="0" w:color="auto"/>
              <w:right w:val="single" w:sz="12" w:space="0" w:color="auto"/>
            </w:tcBorders>
            <w:shd w:val="clear" w:color="auto" w:fill="auto"/>
            <w:noWrap/>
            <w:vAlign w:val="bottom"/>
            <w:hideMark/>
          </w:tcPr>
          <w:p w14:paraId="30354B69"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27 860,7</w:t>
            </w:r>
          </w:p>
        </w:tc>
      </w:tr>
      <w:tr w:rsidR="00AA3A5F" w:rsidRPr="005F142E" w14:paraId="07244CFC" w14:textId="77777777" w:rsidTr="007A68D5">
        <w:trPr>
          <w:trHeight w:val="334"/>
        </w:trPr>
        <w:tc>
          <w:tcPr>
            <w:tcW w:w="616" w:type="pct"/>
            <w:tcBorders>
              <w:top w:val="nil"/>
              <w:left w:val="single" w:sz="12" w:space="0" w:color="auto"/>
              <w:bottom w:val="single" w:sz="4" w:space="0" w:color="auto"/>
              <w:right w:val="single" w:sz="8" w:space="0" w:color="auto"/>
            </w:tcBorders>
            <w:shd w:val="clear" w:color="auto" w:fill="auto"/>
            <w:noWrap/>
            <w:vAlign w:val="center"/>
            <w:hideMark/>
          </w:tcPr>
          <w:p w14:paraId="5A933196" w14:textId="77777777" w:rsidR="00AA3A5F" w:rsidRPr="005F142E" w:rsidRDefault="00AA3A5F" w:rsidP="007A68D5">
            <w:pPr>
              <w:jc w:val="left"/>
              <w:rPr>
                <w:rFonts w:cs="Times New Roman"/>
                <w:color w:val="000000"/>
                <w:sz w:val="20"/>
                <w:szCs w:val="20"/>
                <w:lang w:val="cs-CZ"/>
              </w:rPr>
            </w:pPr>
            <w:r w:rsidRPr="005F142E">
              <w:rPr>
                <w:rFonts w:cs="Times New Roman"/>
                <w:color w:val="000000"/>
                <w:sz w:val="20"/>
                <w:szCs w:val="20"/>
                <w:lang w:val="cs-CZ"/>
              </w:rPr>
              <w:t>2016/2017</w:t>
            </w:r>
          </w:p>
        </w:tc>
        <w:tc>
          <w:tcPr>
            <w:tcW w:w="743" w:type="pct"/>
            <w:tcBorders>
              <w:top w:val="nil"/>
              <w:left w:val="nil"/>
              <w:bottom w:val="single" w:sz="4" w:space="0" w:color="auto"/>
              <w:right w:val="single" w:sz="4" w:space="0" w:color="auto"/>
            </w:tcBorders>
            <w:shd w:val="clear" w:color="000000" w:fill="FFFFFF"/>
            <w:vAlign w:val="center"/>
            <w:hideMark/>
          </w:tcPr>
          <w:p w14:paraId="5BE23A48"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86</w:t>
            </w:r>
          </w:p>
        </w:tc>
        <w:tc>
          <w:tcPr>
            <w:tcW w:w="596" w:type="pct"/>
            <w:tcBorders>
              <w:top w:val="nil"/>
              <w:left w:val="nil"/>
              <w:bottom w:val="single" w:sz="4" w:space="0" w:color="auto"/>
              <w:right w:val="nil"/>
            </w:tcBorders>
            <w:shd w:val="clear" w:color="000000" w:fill="FFFFFF"/>
            <w:vAlign w:val="center"/>
            <w:hideMark/>
          </w:tcPr>
          <w:p w14:paraId="10E2C07D"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11</w:t>
            </w:r>
          </w:p>
        </w:tc>
        <w:tc>
          <w:tcPr>
            <w:tcW w:w="404" w:type="pct"/>
            <w:tcBorders>
              <w:top w:val="nil"/>
              <w:left w:val="single" w:sz="8" w:space="0" w:color="auto"/>
              <w:bottom w:val="single" w:sz="4" w:space="0" w:color="auto"/>
              <w:right w:val="single" w:sz="8" w:space="0" w:color="auto"/>
            </w:tcBorders>
            <w:shd w:val="clear" w:color="000000" w:fill="FFFFFF"/>
            <w:vAlign w:val="center"/>
            <w:hideMark/>
          </w:tcPr>
          <w:p w14:paraId="65FF3733"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97</w:t>
            </w:r>
          </w:p>
        </w:tc>
        <w:tc>
          <w:tcPr>
            <w:tcW w:w="826" w:type="pct"/>
            <w:tcBorders>
              <w:top w:val="nil"/>
              <w:left w:val="nil"/>
              <w:bottom w:val="single" w:sz="4" w:space="0" w:color="auto"/>
              <w:right w:val="single" w:sz="4" w:space="0" w:color="auto"/>
            </w:tcBorders>
            <w:shd w:val="clear" w:color="000000" w:fill="FFFFFF"/>
            <w:vAlign w:val="center"/>
            <w:hideMark/>
          </w:tcPr>
          <w:p w14:paraId="0AF59DC9"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6 727,1</w:t>
            </w:r>
          </w:p>
        </w:tc>
        <w:tc>
          <w:tcPr>
            <w:tcW w:w="880" w:type="pct"/>
            <w:tcBorders>
              <w:top w:val="nil"/>
              <w:left w:val="nil"/>
              <w:bottom w:val="single" w:sz="4" w:space="0" w:color="auto"/>
              <w:right w:val="nil"/>
            </w:tcBorders>
            <w:shd w:val="clear" w:color="000000" w:fill="FFFFFF"/>
            <w:vAlign w:val="center"/>
            <w:hideMark/>
          </w:tcPr>
          <w:p w14:paraId="0BB2DDF9"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21 131,4</w:t>
            </w:r>
          </w:p>
        </w:tc>
        <w:tc>
          <w:tcPr>
            <w:tcW w:w="934" w:type="pct"/>
            <w:tcBorders>
              <w:top w:val="nil"/>
              <w:left w:val="single" w:sz="8" w:space="0" w:color="auto"/>
              <w:bottom w:val="single" w:sz="4" w:space="0" w:color="auto"/>
              <w:right w:val="single" w:sz="12" w:space="0" w:color="auto"/>
            </w:tcBorders>
            <w:shd w:val="clear" w:color="auto" w:fill="auto"/>
            <w:noWrap/>
            <w:vAlign w:val="bottom"/>
            <w:hideMark/>
          </w:tcPr>
          <w:p w14:paraId="67FA448A"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27 858,5</w:t>
            </w:r>
          </w:p>
        </w:tc>
      </w:tr>
      <w:tr w:rsidR="00AA3A5F" w:rsidRPr="005F142E" w14:paraId="195F5822" w14:textId="77777777" w:rsidTr="007A68D5">
        <w:trPr>
          <w:trHeight w:val="351"/>
        </w:trPr>
        <w:tc>
          <w:tcPr>
            <w:tcW w:w="616" w:type="pct"/>
            <w:tcBorders>
              <w:top w:val="nil"/>
              <w:left w:val="single" w:sz="12" w:space="0" w:color="auto"/>
              <w:bottom w:val="single" w:sz="4" w:space="0" w:color="auto"/>
              <w:right w:val="single" w:sz="8" w:space="0" w:color="auto"/>
            </w:tcBorders>
            <w:shd w:val="clear" w:color="auto" w:fill="auto"/>
            <w:noWrap/>
            <w:vAlign w:val="center"/>
            <w:hideMark/>
          </w:tcPr>
          <w:p w14:paraId="16AA13C6" w14:textId="77777777" w:rsidR="00AA3A5F" w:rsidRPr="005F142E" w:rsidRDefault="00AA3A5F" w:rsidP="007A68D5">
            <w:pPr>
              <w:jc w:val="left"/>
              <w:rPr>
                <w:rFonts w:cs="Times New Roman"/>
                <w:color w:val="000000"/>
                <w:sz w:val="20"/>
                <w:szCs w:val="20"/>
                <w:lang w:val="cs-CZ"/>
              </w:rPr>
            </w:pPr>
            <w:r w:rsidRPr="005F142E">
              <w:rPr>
                <w:rFonts w:cs="Times New Roman"/>
                <w:color w:val="000000"/>
                <w:sz w:val="20"/>
                <w:szCs w:val="20"/>
                <w:lang w:val="cs-CZ"/>
              </w:rPr>
              <w:t>2017/2018</w:t>
            </w:r>
          </w:p>
        </w:tc>
        <w:tc>
          <w:tcPr>
            <w:tcW w:w="743" w:type="pct"/>
            <w:tcBorders>
              <w:top w:val="nil"/>
              <w:left w:val="nil"/>
              <w:bottom w:val="single" w:sz="4" w:space="0" w:color="auto"/>
              <w:right w:val="single" w:sz="4" w:space="0" w:color="auto"/>
            </w:tcBorders>
            <w:shd w:val="clear" w:color="000000" w:fill="FFFFFF"/>
            <w:vAlign w:val="center"/>
            <w:hideMark/>
          </w:tcPr>
          <w:p w14:paraId="15C55D90"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53</w:t>
            </w:r>
          </w:p>
        </w:tc>
        <w:tc>
          <w:tcPr>
            <w:tcW w:w="596" w:type="pct"/>
            <w:tcBorders>
              <w:top w:val="nil"/>
              <w:left w:val="nil"/>
              <w:bottom w:val="single" w:sz="4" w:space="0" w:color="auto"/>
              <w:right w:val="nil"/>
            </w:tcBorders>
            <w:shd w:val="clear" w:color="000000" w:fill="FFFFFF"/>
            <w:vAlign w:val="center"/>
            <w:hideMark/>
          </w:tcPr>
          <w:p w14:paraId="4FA30D7E"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8</w:t>
            </w:r>
          </w:p>
        </w:tc>
        <w:tc>
          <w:tcPr>
            <w:tcW w:w="404" w:type="pct"/>
            <w:tcBorders>
              <w:top w:val="nil"/>
              <w:left w:val="single" w:sz="8" w:space="0" w:color="auto"/>
              <w:bottom w:val="single" w:sz="4" w:space="0" w:color="auto"/>
              <w:right w:val="single" w:sz="8" w:space="0" w:color="auto"/>
            </w:tcBorders>
            <w:shd w:val="clear" w:color="000000" w:fill="FFFFFF"/>
            <w:vAlign w:val="center"/>
            <w:hideMark/>
          </w:tcPr>
          <w:p w14:paraId="3D496CBF"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61</w:t>
            </w:r>
          </w:p>
        </w:tc>
        <w:tc>
          <w:tcPr>
            <w:tcW w:w="826" w:type="pct"/>
            <w:tcBorders>
              <w:top w:val="nil"/>
              <w:left w:val="nil"/>
              <w:bottom w:val="single" w:sz="4" w:space="0" w:color="auto"/>
              <w:right w:val="single" w:sz="4" w:space="0" w:color="auto"/>
            </w:tcBorders>
            <w:shd w:val="clear" w:color="000000" w:fill="FFFFFF"/>
            <w:vAlign w:val="center"/>
            <w:hideMark/>
          </w:tcPr>
          <w:p w14:paraId="44DDAA49"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9 435,9</w:t>
            </w:r>
          </w:p>
        </w:tc>
        <w:tc>
          <w:tcPr>
            <w:tcW w:w="880" w:type="pct"/>
            <w:tcBorders>
              <w:top w:val="nil"/>
              <w:left w:val="nil"/>
              <w:bottom w:val="single" w:sz="4" w:space="0" w:color="auto"/>
              <w:right w:val="nil"/>
            </w:tcBorders>
            <w:shd w:val="clear" w:color="000000" w:fill="FFFFFF"/>
            <w:vAlign w:val="center"/>
            <w:hideMark/>
          </w:tcPr>
          <w:p w14:paraId="06DA96A1"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14 068,4</w:t>
            </w:r>
          </w:p>
        </w:tc>
        <w:tc>
          <w:tcPr>
            <w:tcW w:w="934" w:type="pct"/>
            <w:tcBorders>
              <w:top w:val="nil"/>
              <w:left w:val="single" w:sz="8" w:space="0" w:color="auto"/>
              <w:bottom w:val="single" w:sz="4" w:space="0" w:color="auto"/>
              <w:right w:val="single" w:sz="12" w:space="0" w:color="auto"/>
            </w:tcBorders>
            <w:shd w:val="clear" w:color="auto" w:fill="auto"/>
            <w:noWrap/>
            <w:vAlign w:val="bottom"/>
            <w:hideMark/>
          </w:tcPr>
          <w:p w14:paraId="0AD14561"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23 504,3</w:t>
            </w:r>
          </w:p>
        </w:tc>
      </w:tr>
      <w:tr w:rsidR="00AA3A5F" w:rsidRPr="005F142E" w14:paraId="38122A95" w14:textId="77777777" w:rsidTr="007A68D5">
        <w:trPr>
          <w:trHeight w:val="351"/>
        </w:trPr>
        <w:tc>
          <w:tcPr>
            <w:tcW w:w="616" w:type="pct"/>
            <w:tcBorders>
              <w:top w:val="single" w:sz="4" w:space="0" w:color="auto"/>
              <w:left w:val="single" w:sz="12" w:space="0" w:color="auto"/>
              <w:bottom w:val="single" w:sz="8" w:space="0" w:color="auto"/>
              <w:right w:val="single" w:sz="8" w:space="0" w:color="auto"/>
            </w:tcBorders>
            <w:shd w:val="clear" w:color="auto" w:fill="auto"/>
            <w:noWrap/>
            <w:vAlign w:val="center"/>
          </w:tcPr>
          <w:p w14:paraId="79C4C52C" w14:textId="77777777" w:rsidR="00AA3A5F" w:rsidRPr="005F142E" w:rsidRDefault="00AA3A5F" w:rsidP="007A68D5">
            <w:pPr>
              <w:jc w:val="left"/>
              <w:rPr>
                <w:rFonts w:cs="Times New Roman"/>
                <w:color w:val="000000"/>
                <w:sz w:val="20"/>
                <w:szCs w:val="20"/>
                <w:lang w:val="cs-CZ"/>
              </w:rPr>
            </w:pPr>
            <w:r w:rsidRPr="005F142E">
              <w:rPr>
                <w:rFonts w:cs="Times New Roman"/>
                <w:color w:val="000000"/>
                <w:sz w:val="20"/>
                <w:szCs w:val="20"/>
                <w:lang w:val="cs-CZ"/>
              </w:rPr>
              <w:t>2018/2019</w:t>
            </w:r>
          </w:p>
        </w:tc>
        <w:tc>
          <w:tcPr>
            <w:tcW w:w="743" w:type="pct"/>
            <w:tcBorders>
              <w:top w:val="single" w:sz="4" w:space="0" w:color="auto"/>
              <w:left w:val="nil"/>
              <w:bottom w:val="single" w:sz="8" w:space="0" w:color="auto"/>
              <w:right w:val="single" w:sz="4" w:space="0" w:color="auto"/>
            </w:tcBorders>
            <w:shd w:val="clear" w:color="000000" w:fill="FFFFFF"/>
            <w:vAlign w:val="center"/>
          </w:tcPr>
          <w:p w14:paraId="0CCD2B5D"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98</w:t>
            </w:r>
          </w:p>
        </w:tc>
        <w:tc>
          <w:tcPr>
            <w:tcW w:w="596" w:type="pct"/>
            <w:tcBorders>
              <w:top w:val="single" w:sz="4" w:space="0" w:color="auto"/>
              <w:left w:val="nil"/>
              <w:bottom w:val="single" w:sz="8" w:space="0" w:color="auto"/>
              <w:right w:val="nil"/>
            </w:tcBorders>
            <w:shd w:val="clear" w:color="000000" w:fill="FFFFFF"/>
            <w:vAlign w:val="center"/>
          </w:tcPr>
          <w:p w14:paraId="3605445C"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17</w:t>
            </w:r>
          </w:p>
        </w:tc>
        <w:tc>
          <w:tcPr>
            <w:tcW w:w="404" w:type="pct"/>
            <w:tcBorders>
              <w:top w:val="single" w:sz="4" w:space="0" w:color="auto"/>
              <w:left w:val="single" w:sz="8" w:space="0" w:color="auto"/>
              <w:bottom w:val="single" w:sz="8" w:space="0" w:color="auto"/>
              <w:right w:val="single" w:sz="8" w:space="0" w:color="auto"/>
            </w:tcBorders>
            <w:shd w:val="clear" w:color="000000" w:fill="FFFFFF"/>
            <w:vAlign w:val="center"/>
          </w:tcPr>
          <w:p w14:paraId="031C5265"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115</w:t>
            </w:r>
          </w:p>
        </w:tc>
        <w:tc>
          <w:tcPr>
            <w:tcW w:w="826" w:type="pct"/>
            <w:tcBorders>
              <w:top w:val="single" w:sz="4" w:space="0" w:color="auto"/>
              <w:left w:val="nil"/>
              <w:bottom w:val="single" w:sz="8" w:space="0" w:color="auto"/>
              <w:right w:val="single" w:sz="4" w:space="0" w:color="auto"/>
            </w:tcBorders>
            <w:shd w:val="clear" w:color="000000" w:fill="FFFFFF"/>
            <w:vAlign w:val="center"/>
          </w:tcPr>
          <w:p w14:paraId="70919F6A"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28 105,5</w:t>
            </w:r>
          </w:p>
        </w:tc>
        <w:tc>
          <w:tcPr>
            <w:tcW w:w="880" w:type="pct"/>
            <w:tcBorders>
              <w:top w:val="single" w:sz="4" w:space="0" w:color="auto"/>
              <w:left w:val="nil"/>
              <w:bottom w:val="single" w:sz="8" w:space="0" w:color="auto"/>
              <w:right w:val="nil"/>
            </w:tcBorders>
            <w:shd w:val="clear" w:color="000000" w:fill="FFFFFF"/>
            <w:vAlign w:val="center"/>
          </w:tcPr>
          <w:p w14:paraId="1D9DA497"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11 676,5</w:t>
            </w:r>
          </w:p>
        </w:tc>
        <w:tc>
          <w:tcPr>
            <w:tcW w:w="934" w:type="pct"/>
            <w:tcBorders>
              <w:top w:val="single" w:sz="4" w:space="0" w:color="auto"/>
              <w:left w:val="single" w:sz="8" w:space="0" w:color="auto"/>
              <w:bottom w:val="single" w:sz="8" w:space="0" w:color="auto"/>
              <w:right w:val="single" w:sz="12" w:space="0" w:color="auto"/>
            </w:tcBorders>
            <w:shd w:val="clear" w:color="auto" w:fill="auto"/>
            <w:noWrap/>
            <w:vAlign w:val="bottom"/>
          </w:tcPr>
          <w:p w14:paraId="43C001CF" w14:textId="77777777" w:rsidR="00AA3A5F" w:rsidRPr="005F142E" w:rsidRDefault="00AA3A5F" w:rsidP="005F142E">
            <w:pPr>
              <w:jc w:val="center"/>
              <w:rPr>
                <w:rFonts w:cs="Times New Roman"/>
                <w:color w:val="000000"/>
                <w:sz w:val="20"/>
                <w:szCs w:val="20"/>
                <w:lang w:val="cs-CZ"/>
              </w:rPr>
            </w:pPr>
            <w:r w:rsidRPr="005F142E">
              <w:rPr>
                <w:rFonts w:cs="Times New Roman"/>
                <w:color w:val="000000"/>
                <w:sz w:val="20"/>
                <w:szCs w:val="20"/>
                <w:lang w:val="cs-CZ"/>
              </w:rPr>
              <w:t>39 781,9</w:t>
            </w:r>
          </w:p>
        </w:tc>
      </w:tr>
      <w:tr w:rsidR="00AA3A5F" w:rsidRPr="005F142E" w14:paraId="03B8A731" w14:textId="77777777" w:rsidTr="007A68D5">
        <w:trPr>
          <w:trHeight w:val="351"/>
        </w:trPr>
        <w:tc>
          <w:tcPr>
            <w:tcW w:w="616" w:type="pct"/>
            <w:tcBorders>
              <w:top w:val="single" w:sz="8" w:space="0" w:color="auto"/>
              <w:left w:val="single" w:sz="12" w:space="0" w:color="auto"/>
              <w:bottom w:val="single" w:sz="12" w:space="0" w:color="auto"/>
              <w:right w:val="single" w:sz="4" w:space="0" w:color="auto"/>
            </w:tcBorders>
            <w:shd w:val="clear" w:color="auto" w:fill="auto"/>
            <w:noWrap/>
            <w:vAlign w:val="center"/>
            <w:hideMark/>
          </w:tcPr>
          <w:p w14:paraId="2BF85B70" w14:textId="77777777" w:rsidR="00AA3A5F" w:rsidRPr="005F142E" w:rsidRDefault="00AA3A5F" w:rsidP="007A68D5">
            <w:pPr>
              <w:jc w:val="left"/>
              <w:rPr>
                <w:rFonts w:cs="Times New Roman"/>
                <w:b/>
                <w:bCs/>
                <w:color w:val="000000"/>
                <w:sz w:val="20"/>
                <w:szCs w:val="20"/>
                <w:lang w:val="cs-CZ"/>
              </w:rPr>
            </w:pPr>
            <w:r w:rsidRPr="005F142E">
              <w:rPr>
                <w:rFonts w:cs="Times New Roman"/>
                <w:b/>
                <w:bCs/>
                <w:color w:val="000000"/>
                <w:sz w:val="20"/>
                <w:szCs w:val="20"/>
                <w:lang w:val="cs-CZ"/>
              </w:rPr>
              <w:t>CELKEM</w:t>
            </w:r>
          </w:p>
        </w:tc>
        <w:tc>
          <w:tcPr>
            <w:tcW w:w="743" w:type="pct"/>
            <w:tcBorders>
              <w:top w:val="single" w:sz="8" w:space="0" w:color="auto"/>
              <w:left w:val="nil"/>
              <w:bottom w:val="single" w:sz="12" w:space="0" w:color="auto"/>
              <w:right w:val="single" w:sz="4" w:space="0" w:color="auto"/>
            </w:tcBorders>
            <w:shd w:val="clear" w:color="000000" w:fill="FFFFFF"/>
            <w:vAlign w:val="center"/>
            <w:hideMark/>
          </w:tcPr>
          <w:p w14:paraId="71D8B233" w14:textId="77777777" w:rsidR="00AA3A5F" w:rsidRPr="005F142E" w:rsidRDefault="00AA3A5F" w:rsidP="005F142E">
            <w:pPr>
              <w:jc w:val="center"/>
              <w:rPr>
                <w:rFonts w:cs="Times New Roman"/>
                <w:b/>
                <w:bCs/>
                <w:color w:val="000000"/>
                <w:sz w:val="20"/>
                <w:szCs w:val="20"/>
                <w:lang w:val="cs-CZ"/>
              </w:rPr>
            </w:pPr>
            <w:r w:rsidRPr="005F142E">
              <w:rPr>
                <w:rFonts w:cs="Times New Roman"/>
                <w:b/>
                <w:bCs/>
                <w:color w:val="000000"/>
                <w:sz w:val="20"/>
                <w:szCs w:val="20"/>
                <w:lang w:val="cs-CZ"/>
              </w:rPr>
              <w:t>454</w:t>
            </w:r>
          </w:p>
        </w:tc>
        <w:tc>
          <w:tcPr>
            <w:tcW w:w="596" w:type="pct"/>
            <w:tcBorders>
              <w:top w:val="single" w:sz="8" w:space="0" w:color="auto"/>
              <w:left w:val="nil"/>
              <w:bottom w:val="single" w:sz="12" w:space="0" w:color="auto"/>
              <w:right w:val="nil"/>
            </w:tcBorders>
            <w:shd w:val="clear" w:color="000000" w:fill="FFFFFF"/>
            <w:vAlign w:val="center"/>
            <w:hideMark/>
          </w:tcPr>
          <w:p w14:paraId="2139388E" w14:textId="77777777" w:rsidR="00AA3A5F" w:rsidRPr="005F142E" w:rsidRDefault="00AA3A5F" w:rsidP="005F142E">
            <w:pPr>
              <w:jc w:val="center"/>
              <w:rPr>
                <w:rFonts w:cs="Times New Roman"/>
                <w:b/>
                <w:bCs/>
                <w:color w:val="000000"/>
                <w:sz w:val="20"/>
                <w:szCs w:val="20"/>
                <w:lang w:val="cs-CZ"/>
              </w:rPr>
            </w:pPr>
            <w:r w:rsidRPr="005F142E">
              <w:rPr>
                <w:rFonts w:cs="Times New Roman"/>
                <w:b/>
                <w:bCs/>
                <w:color w:val="000000"/>
                <w:sz w:val="20"/>
                <w:szCs w:val="20"/>
                <w:lang w:val="cs-CZ"/>
              </w:rPr>
              <w:t>127</w:t>
            </w:r>
          </w:p>
        </w:tc>
        <w:tc>
          <w:tcPr>
            <w:tcW w:w="404" w:type="pct"/>
            <w:tcBorders>
              <w:top w:val="single" w:sz="8" w:space="0" w:color="auto"/>
              <w:left w:val="single" w:sz="8" w:space="0" w:color="auto"/>
              <w:bottom w:val="single" w:sz="12" w:space="0" w:color="auto"/>
              <w:right w:val="single" w:sz="8" w:space="0" w:color="auto"/>
            </w:tcBorders>
            <w:shd w:val="clear" w:color="000000" w:fill="FFFFFF"/>
            <w:vAlign w:val="center"/>
            <w:hideMark/>
          </w:tcPr>
          <w:p w14:paraId="2B3B53F6" w14:textId="77777777" w:rsidR="00AA3A5F" w:rsidRPr="005F142E" w:rsidRDefault="00AA3A5F" w:rsidP="005F142E">
            <w:pPr>
              <w:jc w:val="center"/>
              <w:rPr>
                <w:rFonts w:cs="Times New Roman"/>
                <w:b/>
                <w:bCs/>
                <w:color w:val="000000"/>
                <w:sz w:val="20"/>
                <w:szCs w:val="20"/>
                <w:lang w:val="cs-CZ"/>
              </w:rPr>
            </w:pPr>
            <w:r w:rsidRPr="005F142E">
              <w:rPr>
                <w:rFonts w:cs="Times New Roman"/>
                <w:b/>
                <w:bCs/>
                <w:color w:val="000000"/>
                <w:sz w:val="20"/>
                <w:szCs w:val="20"/>
                <w:lang w:val="cs-CZ"/>
              </w:rPr>
              <w:t>581</w:t>
            </w:r>
          </w:p>
        </w:tc>
        <w:tc>
          <w:tcPr>
            <w:tcW w:w="826" w:type="pct"/>
            <w:tcBorders>
              <w:top w:val="single" w:sz="8" w:space="0" w:color="auto"/>
              <w:left w:val="nil"/>
              <w:bottom w:val="single" w:sz="12" w:space="0" w:color="auto"/>
              <w:right w:val="single" w:sz="4" w:space="0" w:color="auto"/>
            </w:tcBorders>
            <w:shd w:val="clear" w:color="000000" w:fill="FFFFFF"/>
            <w:vAlign w:val="center"/>
          </w:tcPr>
          <w:p w14:paraId="1E10DCEF" w14:textId="77777777" w:rsidR="00AA3A5F" w:rsidRPr="005F142E" w:rsidRDefault="00AA3A5F" w:rsidP="005F142E">
            <w:pPr>
              <w:jc w:val="center"/>
              <w:rPr>
                <w:rFonts w:cs="Times New Roman"/>
                <w:b/>
                <w:bCs/>
                <w:color w:val="000000"/>
                <w:sz w:val="20"/>
                <w:szCs w:val="20"/>
                <w:lang w:val="cs-CZ"/>
              </w:rPr>
            </w:pPr>
            <w:r w:rsidRPr="005F142E">
              <w:rPr>
                <w:rFonts w:cs="Times New Roman"/>
                <w:b/>
                <w:bCs/>
                <w:color w:val="000000"/>
                <w:sz w:val="20"/>
                <w:szCs w:val="20"/>
                <w:lang w:val="cs-CZ"/>
              </w:rPr>
              <w:t>71 769,6</w:t>
            </w:r>
          </w:p>
        </w:tc>
        <w:tc>
          <w:tcPr>
            <w:tcW w:w="880" w:type="pct"/>
            <w:tcBorders>
              <w:top w:val="single" w:sz="8" w:space="0" w:color="auto"/>
              <w:left w:val="nil"/>
              <w:bottom w:val="single" w:sz="12" w:space="0" w:color="auto"/>
              <w:right w:val="nil"/>
            </w:tcBorders>
            <w:shd w:val="clear" w:color="000000" w:fill="FFFFFF"/>
            <w:vAlign w:val="center"/>
            <w:hideMark/>
          </w:tcPr>
          <w:p w14:paraId="07F88B21" w14:textId="77777777" w:rsidR="00AA3A5F" w:rsidRPr="005F142E" w:rsidRDefault="00AA3A5F" w:rsidP="005F142E">
            <w:pPr>
              <w:jc w:val="center"/>
              <w:rPr>
                <w:rFonts w:cs="Times New Roman"/>
                <w:b/>
                <w:bCs/>
                <w:color w:val="000000"/>
                <w:sz w:val="20"/>
                <w:szCs w:val="20"/>
                <w:lang w:val="cs-CZ"/>
              </w:rPr>
            </w:pPr>
            <w:r w:rsidRPr="005F142E">
              <w:rPr>
                <w:rFonts w:cs="Times New Roman"/>
                <w:b/>
                <w:bCs/>
                <w:color w:val="000000"/>
                <w:sz w:val="20"/>
                <w:szCs w:val="20"/>
                <w:lang w:val="cs-CZ"/>
              </w:rPr>
              <w:t>104 107,6</w:t>
            </w:r>
          </w:p>
        </w:tc>
        <w:tc>
          <w:tcPr>
            <w:tcW w:w="934" w:type="pct"/>
            <w:tcBorders>
              <w:top w:val="single" w:sz="8" w:space="0" w:color="auto"/>
              <w:left w:val="single" w:sz="8" w:space="0" w:color="auto"/>
              <w:bottom w:val="single" w:sz="12" w:space="0" w:color="auto"/>
              <w:right w:val="single" w:sz="12" w:space="0" w:color="auto"/>
            </w:tcBorders>
            <w:shd w:val="clear" w:color="auto" w:fill="auto"/>
            <w:noWrap/>
            <w:vAlign w:val="bottom"/>
            <w:hideMark/>
          </w:tcPr>
          <w:p w14:paraId="64FE1D58" w14:textId="77777777" w:rsidR="00AA3A5F" w:rsidRPr="005F142E" w:rsidRDefault="00AA3A5F" w:rsidP="005F142E">
            <w:pPr>
              <w:jc w:val="center"/>
              <w:rPr>
                <w:rFonts w:cs="Times New Roman"/>
                <w:b/>
                <w:bCs/>
                <w:color w:val="000000"/>
                <w:sz w:val="20"/>
                <w:szCs w:val="20"/>
                <w:lang w:val="cs-CZ"/>
              </w:rPr>
            </w:pPr>
            <w:r w:rsidRPr="005F142E">
              <w:rPr>
                <w:rFonts w:cs="Times New Roman"/>
                <w:b/>
                <w:bCs/>
                <w:color w:val="000000"/>
                <w:sz w:val="20"/>
                <w:szCs w:val="20"/>
                <w:lang w:val="cs-CZ"/>
              </w:rPr>
              <w:t>175 877,2</w:t>
            </w:r>
          </w:p>
        </w:tc>
      </w:tr>
    </w:tbl>
    <w:p w14:paraId="5DF2BDB1" w14:textId="77777777" w:rsidR="00AA3A5F" w:rsidRPr="00B25A22" w:rsidRDefault="00AA3A5F" w:rsidP="005F142E">
      <w:pPr>
        <w:pStyle w:val="UZEIZdroj"/>
        <w:spacing w:after="0"/>
      </w:pPr>
      <w:r w:rsidRPr="00B25A22">
        <w:lastRenderedPageBreak/>
        <w:t>Pramen: SZIF</w:t>
      </w:r>
    </w:p>
    <w:p w14:paraId="446426A9" w14:textId="77777777" w:rsidR="00AA3A5F" w:rsidRPr="005F142E" w:rsidRDefault="00AA3A5F" w:rsidP="00AA3A5F">
      <w:pPr>
        <w:rPr>
          <w:rFonts w:cs="Times New Roman"/>
          <w:b/>
          <w:sz w:val="20"/>
          <w:szCs w:val="20"/>
          <w:lang w:val="cs-CZ"/>
        </w:rPr>
      </w:pPr>
      <w:r w:rsidRPr="005F142E">
        <w:rPr>
          <w:rFonts w:cs="Times New Roman"/>
          <w:b/>
          <w:sz w:val="20"/>
          <w:szCs w:val="20"/>
          <w:lang w:val="cs-CZ"/>
        </w:rPr>
        <w:t xml:space="preserve">Graf P 2.2 – Poměr počtů vyplacených žádostí dle typu podpory v opatření Investice za poslední uzavřené období </w:t>
      </w:r>
      <w:r w:rsidRPr="005F142E">
        <w:rPr>
          <w:rFonts w:cs="Times New Roman"/>
          <w:sz w:val="20"/>
          <w:szCs w:val="20"/>
          <w:lang w:val="cs-CZ"/>
        </w:rPr>
        <w:t>2013/14-2017/18</w:t>
      </w:r>
    </w:p>
    <w:p w14:paraId="512C08CB" w14:textId="77777777" w:rsidR="00AA3A5F" w:rsidRPr="00B25A22" w:rsidRDefault="00AA3A5F" w:rsidP="00AA3A5F">
      <w:pPr>
        <w:spacing w:line="300" w:lineRule="atLeast"/>
        <w:rPr>
          <w:rFonts w:cs="Times New Roman"/>
          <w:sz w:val="22"/>
          <w:lang w:val="cs-CZ"/>
        </w:rPr>
      </w:pPr>
      <w:r w:rsidRPr="00B25A22">
        <w:rPr>
          <w:rFonts w:cs="Times New Roman"/>
          <w:noProof/>
          <w:lang w:val="cs-CZ" w:eastAsia="cs-CZ"/>
        </w:rPr>
        <w:drawing>
          <wp:inline distT="0" distB="0" distL="0" distR="0" wp14:anchorId="188358B1" wp14:editId="01EE3261">
            <wp:extent cx="5713730" cy="2495550"/>
            <wp:effectExtent l="0" t="0" r="0" b="0"/>
            <wp:docPr id="15" name="Obrázek 15" descr="Obsah obrázku stůl&#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ázek 15" descr="Obsah obrázku stůl&#10;&#10;Popis byl vytvořen automaticky"/>
                    <pic:cNvPicPr/>
                  </pic:nvPicPr>
                  <pic:blipFill rotWithShape="1">
                    <a:blip r:embed="rId43"/>
                    <a:srcRect l="33636" t="44557" r="37726" b="30741"/>
                    <a:stretch/>
                  </pic:blipFill>
                  <pic:spPr bwMode="auto">
                    <a:xfrm>
                      <a:off x="0" y="0"/>
                      <a:ext cx="5774850" cy="2522245"/>
                    </a:xfrm>
                    <a:prstGeom prst="rect">
                      <a:avLst/>
                    </a:prstGeom>
                    <a:ln>
                      <a:noFill/>
                    </a:ln>
                    <a:extLst>
                      <a:ext uri="{53640926-AAD7-44D8-BBD7-CCE9431645EC}">
                        <a14:shadowObscured xmlns:a14="http://schemas.microsoft.com/office/drawing/2010/main"/>
                      </a:ext>
                    </a:extLst>
                  </pic:spPr>
                </pic:pic>
              </a:graphicData>
            </a:graphic>
          </wp:inline>
        </w:drawing>
      </w:r>
    </w:p>
    <w:p w14:paraId="215A4710" w14:textId="77777777" w:rsidR="00AA3A5F" w:rsidRPr="00B25A22" w:rsidRDefault="00AA3A5F" w:rsidP="005F142E">
      <w:pPr>
        <w:pStyle w:val="UZEIZdroj"/>
      </w:pPr>
      <w:r w:rsidRPr="00B25A22">
        <w:t>Pramen: SZIF</w:t>
      </w:r>
    </w:p>
    <w:p w14:paraId="6C89D478" w14:textId="71C7A41C" w:rsidR="00AA3A5F" w:rsidRPr="005F142E" w:rsidRDefault="00AA3A5F" w:rsidP="005F142E">
      <w:pPr>
        <w:pStyle w:val="UZEINadpis4st"/>
      </w:pPr>
      <w:bookmarkStart w:id="100" w:name="_Toc12598440"/>
      <w:bookmarkStart w:id="101" w:name="_Toc81743842"/>
      <w:r w:rsidRPr="00B25A22">
        <w:t>Příloha 3</w:t>
      </w:r>
      <w:bookmarkStart w:id="102" w:name="_Toc12598441"/>
      <w:bookmarkEnd w:id="100"/>
      <w:r w:rsidR="005F142E">
        <w:t xml:space="preserve"> </w:t>
      </w:r>
      <w:r w:rsidRPr="00B25A22">
        <w:rPr>
          <w:rFonts w:cs="Times New Roman"/>
        </w:rPr>
        <w:t>Shrnutí Vyhodnocení podpor včelařských programů</w:t>
      </w:r>
      <w:bookmarkEnd w:id="101"/>
      <w:bookmarkEnd w:id="102"/>
      <w:r w:rsidRPr="00B25A22">
        <w:rPr>
          <w:rFonts w:cs="Times New Roman"/>
          <w:sz w:val="22"/>
          <w:szCs w:val="22"/>
        </w:rPr>
        <w:t xml:space="preserve"> </w:t>
      </w:r>
    </w:p>
    <w:p w14:paraId="7EA8E99D" w14:textId="77777777" w:rsidR="00AA3A5F" w:rsidRPr="00B25A22" w:rsidRDefault="00AA3A5F" w:rsidP="005F142E">
      <w:pPr>
        <w:pStyle w:val="UZEINormaln"/>
      </w:pPr>
      <w:r w:rsidRPr="00B25A22">
        <w:t>Včelařství je v České republice podporováno již několik let na základě Českého včelařského programu. Ten vznikl z rozhodnutí Komise ES v rámci Společné organizace trhu. Tento podpůrný program běží v tříletých cyklech od roku 2008. Aktuální cyklus běží od roku 2020 do roku 2022.</w:t>
      </w:r>
    </w:p>
    <w:p w14:paraId="31172D23" w14:textId="77777777" w:rsidR="00AA3A5F" w:rsidRPr="00B25A22" w:rsidRDefault="00AA3A5F" w:rsidP="005F142E">
      <w:pPr>
        <w:pStyle w:val="UZEINormaln"/>
      </w:pPr>
      <w:r w:rsidRPr="00B25A22">
        <w:t xml:space="preserve">Dotační program směřuje na zlepšení podmínek pro produkci včelařských produktů a jejich uvádění na trh. Dále k zajištění stavů včelstev pro dostatečné opylení zemědělských kultur a planě rostoucích rostlin, získání nejen nových včelařů, ale zároveň zvýšení počtů včelstev stávajících chovatelů jako součást rozvoje venkova a multifunkčního zemědělství. Program je také zaměřen na zvýšení počtu větších včelařských provozů s počtem včelstev nad 20 a zvláště pak na zvýšení počtů profesionálních včelařů, chovajících více než 150 včelstev. </w:t>
      </w:r>
    </w:p>
    <w:p w14:paraId="612B705A" w14:textId="77777777" w:rsidR="00AA3A5F" w:rsidRPr="00B25A22" w:rsidRDefault="00AA3A5F" w:rsidP="005F142E">
      <w:pPr>
        <w:pStyle w:val="UZEINormaln"/>
      </w:pPr>
      <w:r w:rsidRPr="00B25A22">
        <w:t xml:space="preserve">V návaznosti na rozhodnutí orgánů Evropské unie bylo v roce 2013 rovněž realizováno nařízení vlády č. 197/2005 Sb., o stanovení podmínek poskytnutí dotace na provádění opatření ke zlepšení obecných podmínek pro produkci včelařských produktů a jejich uvádění na trh. Jeho novelizace umožnila snížení limitů investovaných částek pro nákup zařízení v rámci opatření „technická pomoc“ a racionalizace kočování. Tím došlo k výraznému zpřístupnění dotací i pro menší chovatele. </w:t>
      </w:r>
    </w:p>
    <w:p w14:paraId="5A822853" w14:textId="77777777" w:rsidR="00AA3A5F" w:rsidRPr="00B25A22" w:rsidRDefault="00AA3A5F" w:rsidP="005F142E">
      <w:pPr>
        <w:pStyle w:val="UZEINormaln"/>
        <w:rPr>
          <w:color w:val="000000" w:themeColor="text1"/>
        </w:rPr>
      </w:pPr>
      <w:r w:rsidRPr="00B25A22">
        <w:rPr>
          <w:color w:val="000000" w:themeColor="text1"/>
        </w:rPr>
        <w:t xml:space="preserve">Zatím poslední tříletý Český včelařský program byl schválen EU na období </w:t>
      </w:r>
      <w:r w:rsidRPr="00B25A22">
        <w:t>2020–2022</w:t>
      </w:r>
      <w:r w:rsidRPr="00B25A22">
        <w:rPr>
          <w:color w:val="FF0000"/>
        </w:rPr>
        <w:t xml:space="preserve"> </w:t>
      </w:r>
      <w:r w:rsidRPr="00B25A22">
        <w:rPr>
          <w:color w:val="000000" w:themeColor="text1"/>
        </w:rPr>
        <w:t xml:space="preserve">v roce 2019 a nové programové období začalo již 1. srpna 2019. Dotace z tohoto programu byly poskytovány chovatelům včel prostřednictvím ČSV, z. s., a týkaly se 5 různých opatření. Financování bylo zajištěno z 50 % z prostředků EU a z 50 % z národního rozpočtu ČR. </w:t>
      </w:r>
    </w:p>
    <w:p w14:paraId="7C35F381" w14:textId="77777777" w:rsidR="00E90C27" w:rsidRDefault="00E90C27" w:rsidP="00AA3A5F">
      <w:pPr>
        <w:rPr>
          <w:rFonts w:cs="Times New Roman"/>
          <w:b/>
          <w:color w:val="000000" w:themeColor="text1"/>
          <w:sz w:val="20"/>
          <w:szCs w:val="20"/>
          <w:lang w:val="cs-CZ"/>
        </w:rPr>
      </w:pPr>
    </w:p>
    <w:p w14:paraId="66D0B0B8" w14:textId="77777777" w:rsidR="00E90C27" w:rsidRDefault="00E90C27" w:rsidP="00AA3A5F">
      <w:pPr>
        <w:rPr>
          <w:rFonts w:cs="Times New Roman"/>
          <w:b/>
          <w:color w:val="000000" w:themeColor="text1"/>
          <w:sz w:val="20"/>
          <w:szCs w:val="20"/>
          <w:lang w:val="cs-CZ"/>
        </w:rPr>
      </w:pPr>
    </w:p>
    <w:p w14:paraId="16EFFCFF" w14:textId="77777777" w:rsidR="00E90C27" w:rsidRDefault="00E90C27" w:rsidP="00AA3A5F">
      <w:pPr>
        <w:rPr>
          <w:rFonts w:cs="Times New Roman"/>
          <w:b/>
          <w:color w:val="000000" w:themeColor="text1"/>
          <w:sz w:val="20"/>
          <w:szCs w:val="20"/>
          <w:lang w:val="cs-CZ"/>
        </w:rPr>
      </w:pPr>
    </w:p>
    <w:p w14:paraId="3FD33C0D" w14:textId="77777777" w:rsidR="00E90C27" w:rsidRDefault="00E90C27" w:rsidP="00AA3A5F">
      <w:pPr>
        <w:rPr>
          <w:rFonts w:cs="Times New Roman"/>
          <w:b/>
          <w:color w:val="000000" w:themeColor="text1"/>
          <w:sz w:val="20"/>
          <w:szCs w:val="20"/>
          <w:lang w:val="cs-CZ"/>
        </w:rPr>
      </w:pPr>
    </w:p>
    <w:p w14:paraId="754FA539" w14:textId="77777777" w:rsidR="00E90C27" w:rsidRDefault="00E90C27" w:rsidP="00AA3A5F">
      <w:pPr>
        <w:rPr>
          <w:rFonts w:cs="Times New Roman"/>
          <w:b/>
          <w:color w:val="000000" w:themeColor="text1"/>
          <w:sz w:val="20"/>
          <w:szCs w:val="20"/>
          <w:lang w:val="cs-CZ"/>
        </w:rPr>
      </w:pPr>
    </w:p>
    <w:p w14:paraId="27DE2B22" w14:textId="77777777" w:rsidR="00E90C27" w:rsidRDefault="00E90C27" w:rsidP="00AA3A5F">
      <w:pPr>
        <w:rPr>
          <w:rFonts w:cs="Times New Roman"/>
          <w:b/>
          <w:color w:val="000000" w:themeColor="text1"/>
          <w:sz w:val="20"/>
          <w:szCs w:val="20"/>
          <w:lang w:val="cs-CZ"/>
        </w:rPr>
      </w:pPr>
    </w:p>
    <w:p w14:paraId="0271B974" w14:textId="77777777" w:rsidR="00E90C27" w:rsidRDefault="00E90C27" w:rsidP="00AA3A5F">
      <w:pPr>
        <w:rPr>
          <w:rFonts w:cs="Times New Roman"/>
          <w:b/>
          <w:color w:val="000000" w:themeColor="text1"/>
          <w:sz w:val="20"/>
          <w:szCs w:val="20"/>
          <w:lang w:val="cs-CZ"/>
        </w:rPr>
      </w:pPr>
    </w:p>
    <w:p w14:paraId="50F324E5" w14:textId="77777777" w:rsidR="00E90C27" w:rsidRDefault="00E90C27" w:rsidP="00AA3A5F">
      <w:pPr>
        <w:rPr>
          <w:rFonts w:cs="Times New Roman"/>
          <w:b/>
          <w:color w:val="000000" w:themeColor="text1"/>
          <w:sz w:val="20"/>
          <w:szCs w:val="20"/>
          <w:lang w:val="cs-CZ"/>
        </w:rPr>
      </w:pPr>
    </w:p>
    <w:p w14:paraId="6A07D0D1" w14:textId="77777777" w:rsidR="00E90C27" w:rsidRDefault="00E90C27" w:rsidP="00AA3A5F">
      <w:pPr>
        <w:rPr>
          <w:rFonts w:cs="Times New Roman"/>
          <w:b/>
          <w:color w:val="000000" w:themeColor="text1"/>
          <w:sz w:val="20"/>
          <w:szCs w:val="20"/>
          <w:lang w:val="cs-CZ"/>
        </w:rPr>
      </w:pPr>
    </w:p>
    <w:p w14:paraId="3DC2DA72" w14:textId="77777777" w:rsidR="00E90C27" w:rsidRDefault="00E90C27" w:rsidP="00AA3A5F">
      <w:pPr>
        <w:rPr>
          <w:rFonts w:cs="Times New Roman"/>
          <w:b/>
          <w:color w:val="000000" w:themeColor="text1"/>
          <w:sz w:val="20"/>
          <w:szCs w:val="20"/>
          <w:lang w:val="cs-CZ"/>
        </w:rPr>
      </w:pPr>
    </w:p>
    <w:p w14:paraId="4E51ED1D" w14:textId="48E2BEE9" w:rsidR="00AA3A5F" w:rsidRPr="005F142E" w:rsidRDefault="00AA3A5F" w:rsidP="00AA3A5F">
      <w:pPr>
        <w:rPr>
          <w:rFonts w:cs="Times New Roman"/>
          <w:b/>
          <w:color w:val="000000" w:themeColor="text1"/>
          <w:sz w:val="20"/>
          <w:szCs w:val="20"/>
          <w:lang w:val="cs-CZ"/>
        </w:rPr>
      </w:pPr>
      <w:r w:rsidRPr="005F142E">
        <w:rPr>
          <w:rFonts w:cs="Times New Roman"/>
          <w:b/>
          <w:color w:val="000000" w:themeColor="text1"/>
          <w:sz w:val="20"/>
          <w:szCs w:val="20"/>
          <w:lang w:val="cs-CZ"/>
        </w:rPr>
        <w:lastRenderedPageBreak/>
        <w:t>Tab. P 3.1: Přehled čerpání tříletého programu dotací podle opatření (v tis. Kč)</w:t>
      </w:r>
    </w:p>
    <w:tbl>
      <w:tblPr>
        <w:tblW w:w="5087" w:type="pct"/>
        <w:tblCellMar>
          <w:left w:w="70" w:type="dxa"/>
          <w:right w:w="70" w:type="dxa"/>
        </w:tblCellMar>
        <w:tblLook w:val="04A0" w:firstRow="1" w:lastRow="0" w:firstColumn="1" w:lastColumn="0" w:noHBand="0" w:noVBand="1"/>
      </w:tblPr>
      <w:tblGrid>
        <w:gridCol w:w="2135"/>
        <w:gridCol w:w="690"/>
        <w:gridCol w:w="690"/>
        <w:gridCol w:w="690"/>
        <w:gridCol w:w="690"/>
        <w:gridCol w:w="690"/>
        <w:gridCol w:w="690"/>
        <w:gridCol w:w="690"/>
        <w:gridCol w:w="690"/>
        <w:gridCol w:w="690"/>
        <w:gridCol w:w="690"/>
        <w:gridCol w:w="1007"/>
      </w:tblGrid>
      <w:tr w:rsidR="00AA3A5F" w:rsidRPr="005F142E" w14:paraId="0A133C37" w14:textId="77777777" w:rsidTr="007A68D5">
        <w:trPr>
          <w:trHeight w:val="510"/>
        </w:trPr>
        <w:tc>
          <w:tcPr>
            <w:tcW w:w="962" w:type="pct"/>
            <w:tcBorders>
              <w:top w:val="single" w:sz="12" w:space="0" w:color="auto"/>
              <w:left w:val="single" w:sz="12" w:space="0" w:color="auto"/>
              <w:bottom w:val="single" w:sz="8" w:space="0" w:color="auto"/>
              <w:right w:val="single" w:sz="8" w:space="0" w:color="auto"/>
            </w:tcBorders>
            <w:shd w:val="clear" w:color="auto" w:fill="auto"/>
            <w:noWrap/>
            <w:vAlign w:val="bottom"/>
            <w:hideMark/>
          </w:tcPr>
          <w:p w14:paraId="38026021" w14:textId="77777777" w:rsidR="00AA3A5F" w:rsidRPr="005F142E" w:rsidRDefault="00AA3A5F" w:rsidP="007A68D5">
            <w:pPr>
              <w:jc w:val="center"/>
              <w:rPr>
                <w:rFonts w:cs="Times New Roman"/>
                <w:b/>
                <w:bCs/>
                <w:color w:val="000000"/>
                <w:sz w:val="20"/>
                <w:szCs w:val="20"/>
                <w:lang w:val="cs-CZ"/>
              </w:rPr>
            </w:pPr>
            <w:r w:rsidRPr="005F142E">
              <w:rPr>
                <w:rFonts w:cs="Times New Roman"/>
                <w:b/>
                <w:bCs/>
                <w:color w:val="000000"/>
                <w:sz w:val="20"/>
                <w:szCs w:val="20"/>
                <w:lang w:val="cs-CZ"/>
              </w:rPr>
              <w:t>Ukazatel</w:t>
            </w:r>
          </w:p>
        </w:tc>
        <w:tc>
          <w:tcPr>
            <w:tcW w:w="333" w:type="pct"/>
            <w:tcBorders>
              <w:top w:val="single" w:sz="12" w:space="0" w:color="auto"/>
              <w:left w:val="nil"/>
              <w:bottom w:val="single" w:sz="8" w:space="0" w:color="auto"/>
              <w:right w:val="single" w:sz="4" w:space="0" w:color="auto"/>
            </w:tcBorders>
            <w:shd w:val="clear" w:color="auto" w:fill="auto"/>
            <w:noWrap/>
            <w:vAlign w:val="bottom"/>
            <w:hideMark/>
          </w:tcPr>
          <w:p w14:paraId="4E2EAFB9" w14:textId="77777777" w:rsidR="00AA3A5F" w:rsidRPr="005F142E" w:rsidRDefault="00AA3A5F" w:rsidP="007A68D5">
            <w:pPr>
              <w:jc w:val="center"/>
              <w:rPr>
                <w:rFonts w:cs="Times New Roman"/>
                <w:b/>
                <w:bCs/>
                <w:color w:val="000000"/>
                <w:sz w:val="20"/>
                <w:szCs w:val="20"/>
                <w:lang w:val="cs-CZ"/>
              </w:rPr>
            </w:pPr>
            <w:r w:rsidRPr="005F142E">
              <w:rPr>
                <w:rFonts w:cs="Times New Roman"/>
                <w:b/>
                <w:bCs/>
                <w:color w:val="000000"/>
                <w:sz w:val="20"/>
                <w:szCs w:val="20"/>
                <w:lang w:val="cs-CZ"/>
              </w:rPr>
              <w:t>2010</w:t>
            </w:r>
          </w:p>
        </w:tc>
        <w:tc>
          <w:tcPr>
            <w:tcW w:w="332" w:type="pct"/>
            <w:tcBorders>
              <w:top w:val="single" w:sz="12" w:space="0" w:color="auto"/>
              <w:left w:val="nil"/>
              <w:bottom w:val="single" w:sz="8" w:space="0" w:color="auto"/>
              <w:right w:val="single" w:sz="4" w:space="0" w:color="auto"/>
            </w:tcBorders>
            <w:shd w:val="clear" w:color="auto" w:fill="auto"/>
            <w:noWrap/>
            <w:vAlign w:val="bottom"/>
            <w:hideMark/>
          </w:tcPr>
          <w:p w14:paraId="70182EF6" w14:textId="77777777" w:rsidR="00AA3A5F" w:rsidRPr="005F142E" w:rsidRDefault="00AA3A5F" w:rsidP="007A68D5">
            <w:pPr>
              <w:jc w:val="center"/>
              <w:rPr>
                <w:rFonts w:cs="Times New Roman"/>
                <w:b/>
                <w:bCs/>
                <w:color w:val="000000"/>
                <w:sz w:val="20"/>
                <w:szCs w:val="20"/>
                <w:lang w:val="cs-CZ"/>
              </w:rPr>
            </w:pPr>
            <w:r w:rsidRPr="005F142E">
              <w:rPr>
                <w:rFonts w:cs="Times New Roman"/>
                <w:b/>
                <w:bCs/>
                <w:color w:val="000000"/>
                <w:sz w:val="20"/>
                <w:szCs w:val="20"/>
                <w:lang w:val="cs-CZ"/>
              </w:rPr>
              <w:t>2011</w:t>
            </w:r>
          </w:p>
        </w:tc>
        <w:tc>
          <w:tcPr>
            <w:tcW w:w="332" w:type="pct"/>
            <w:tcBorders>
              <w:top w:val="single" w:sz="12" w:space="0" w:color="auto"/>
              <w:left w:val="nil"/>
              <w:bottom w:val="single" w:sz="8" w:space="0" w:color="auto"/>
              <w:right w:val="single" w:sz="4" w:space="0" w:color="auto"/>
            </w:tcBorders>
            <w:shd w:val="clear" w:color="auto" w:fill="auto"/>
            <w:noWrap/>
            <w:vAlign w:val="bottom"/>
            <w:hideMark/>
          </w:tcPr>
          <w:p w14:paraId="6ACE7CA4" w14:textId="77777777" w:rsidR="00AA3A5F" w:rsidRPr="005F142E" w:rsidRDefault="00AA3A5F" w:rsidP="007A68D5">
            <w:pPr>
              <w:jc w:val="center"/>
              <w:rPr>
                <w:rFonts w:cs="Times New Roman"/>
                <w:b/>
                <w:bCs/>
                <w:color w:val="000000"/>
                <w:sz w:val="20"/>
                <w:szCs w:val="20"/>
                <w:lang w:val="cs-CZ"/>
              </w:rPr>
            </w:pPr>
            <w:r w:rsidRPr="005F142E">
              <w:rPr>
                <w:rFonts w:cs="Times New Roman"/>
                <w:b/>
                <w:bCs/>
                <w:color w:val="000000"/>
                <w:sz w:val="20"/>
                <w:szCs w:val="20"/>
                <w:lang w:val="cs-CZ"/>
              </w:rPr>
              <w:t>2012</w:t>
            </w:r>
          </w:p>
        </w:tc>
        <w:tc>
          <w:tcPr>
            <w:tcW w:w="332" w:type="pct"/>
            <w:tcBorders>
              <w:top w:val="single" w:sz="12" w:space="0" w:color="auto"/>
              <w:left w:val="nil"/>
              <w:bottom w:val="single" w:sz="8" w:space="0" w:color="auto"/>
              <w:right w:val="single" w:sz="4" w:space="0" w:color="auto"/>
            </w:tcBorders>
            <w:shd w:val="clear" w:color="auto" w:fill="auto"/>
            <w:noWrap/>
            <w:vAlign w:val="bottom"/>
            <w:hideMark/>
          </w:tcPr>
          <w:p w14:paraId="0E90815D" w14:textId="77777777" w:rsidR="00AA3A5F" w:rsidRPr="005F142E" w:rsidRDefault="00AA3A5F" w:rsidP="007A68D5">
            <w:pPr>
              <w:jc w:val="center"/>
              <w:rPr>
                <w:rFonts w:cs="Times New Roman"/>
                <w:b/>
                <w:bCs/>
                <w:color w:val="000000"/>
                <w:sz w:val="20"/>
                <w:szCs w:val="20"/>
                <w:lang w:val="cs-CZ"/>
              </w:rPr>
            </w:pPr>
            <w:r w:rsidRPr="005F142E">
              <w:rPr>
                <w:rFonts w:cs="Times New Roman"/>
                <w:b/>
                <w:bCs/>
                <w:color w:val="000000"/>
                <w:sz w:val="20"/>
                <w:szCs w:val="20"/>
                <w:lang w:val="cs-CZ"/>
              </w:rPr>
              <w:t>2013</w:t>
            </w:r>
          </w:p>
        </w:tc>
        <w:tc>
          <w:tcPr>
            <w:tcW w:w="332" w:type="pct"/>
            <w:tcBorders>
              <w:top w:val="single" w:sz="12" w:space="0" w:color="auto"/>
              <w:left w:val="nil"/>
              <w:bottom w:val="single" w:sz="8" w:space="0" w:color="auto"/>
              <w:right w:val="single" w:sz="4" w:space="0" w:color="auto"/>
            </w:tcBorders>
            <w:shd w:val="clear" w:color="auto" w:fill="auto"/>
            <w:noWrap/>
            <w:vAlign w:val="bottom"/>
            <w:hideMark/>
          </w:tcPr>
          <w:p w14:paraId="58BF81E8" w14:textId="77777777" w:rsidR="00AA3A5F" w:rsidRPr="005F142E" w:rsidRDefault="00AA3A5F" w:rsidP="007A68D5">
            <w:pPr>
              <w:jc w:val="center"/>
              <w:rPr>
                <w:rFonts w:cs="Times New Roman"/>
                <w:b/>
                <w:bCs/>
                <w:color w:val="000000"/>
                <w:sz w:val="20"/>
                <w:szCs w:val="20"/>
                <w:lang w:val="cs-CZ"/>
              </w:rPr>
            </w:pPr>
            <w:r w:rsidRPr="005F142E">
              <w:rPr>
                <w:rFonts w:cs="Times New Roman"/>
                <w:b/>
                <w:bCs/>
                <w:color w:val="000000"/>
                <w:sz w:val="20"/>
                <w:szCs w:val="20"/>
                <w:lang w:val="cs-CZ"/>
              </w:rPr>
              <w:t>2014</w:t>
            </w:r>
          </w:p>
        </w:tc>
        <w:tc>
          <w:tcPr>
            <w:tcW w:w="427" w:type="pct"/>
            <w:tcBorders>
              <w:top w:val="single" w:sz="12" w:space="0" w:color="auto"/>
              <w:left w:val="nil"/>
              <w:bottom w:val="single" w:sz="8" w:space="0" w:color="auto"/>
              <w:right w:val="single" w:sz="4" w:space="0" w:color="auto"/>
            </w:tcBorders>
            <w:shd w:val="clear" w:color="auto" w:fill="auto"/>
            <w:noWrap/>
            <w:vAlign w:val="bottom"/>
            <w:hideMark/>
          </w:tcPr>
          <w:p w14:paraId="45E7992B" w14:textId="77777777" w:rsidR="00AA3A5F" w:rsidRPr="005F142E" w:rsidRDefault="00AA3A5F" w:rsidP="007A68D5">
            <w:pPr>
              <w:jc w:val="center"/>
              <w:rPr>
                <w:rFonts w:cs="Times New Roman"/>
                <w:b/>
                <w:bCs/>
                <w:color w:val="000000"/>
                <w:sz w:val="20"/>
                <w:szCs w:val="20"/>
                <w:lang w:val="cs-CZ"/>
              </w:rPr>
            </w:pPr>
            <w:r w:rsidRPr="005F142E">
              <w:rPr>
                <w:rFonts w:cs="Times New Roman"/>
                <w:b/>
                <w:bCs/>
                <w:color w:val="000000"/>
                <w:sz w:val="20"/>
                <w:szCs w:val="20"/>
                <w:lang w:val="cs-CZ"/>
              </w:rPr>
              <w:t>2015</w:t>
            </w:r>
          </w:p>
        </w:tc>
        <w:tc>
          <w:tcPr>
            <w:tcW w:w="380" w:type="pct"/>
            <w:tcBorders>
              <w:top w:val="single" w:sz="12" w:space="0" w:color="auto"/>
              <w:left w:val="nil"/>
              <w:bottom w:val="single" w:sz="8" w:space="0" w:color="auto"/>
              <w:right w:val="single" w:sz="4" w:space="0" w:color="auto"/>
            </w:tcBorders>
            <w:shd w:val="clear" w:color="auto" w:fill="auto"/>
            <w:noWrap/>
            <w:vAlign w:val="bottom"/>
            <w:hideMark/>
          </w:tcPr>
          <w:p w14:paraId="60EBD212" w14:textId="77777777" w:rsidR="00AA3A5F" w:rsidRPr="005F142E" w:rsidRDefault="00AA3A5F" w:rsidP="007A68D5">
            <w:pPr>
              <w:jc w:val="center"/>
              <w:rPr>
                <w:rFonts w:cs="Times New Roman"/>
                <w:b/>
                <w:bCs/>
                <w:color w:val="000000"/>
                <w:sz w:val="20"/>
                <w:szCs w:val="20"/>
                <w:lang w:val="cs-CZ"/>
              </w:rPr>
            </w:pPr>
            <w:r w:rsidRPr="005F142E">
              <w:rPr>
                <w:rFonts w:cs="Times New Roman"/>
                <w:b/>
                <w:bCs/>
                <w:color w:val="000000"/>
                <w:sz w:val="20"/>
                <w:szCs w:val="20"/>
                <w:lang w:val="cs-CZ"/>
              </w:rPr>
              <w:t>2016</w:t>
            </w:r>
          </w:p>
        </w:tc>
        <w:tc>
          <w:tcPr>
            <w:tcW w:w="427" w:type="pct"/>
            <w:tcBorders>
              <w:top w:val="single" w:sz="12" w:space="0" w:color="auto"/>
              <w:left w:val="nil"/>
              <w:bottom w:val="single" w:sz="8" w:space="0" w:color="auto"/>
              <w:right w:val="single" w:sz="4" w:space="0" w:color="auto"/>
            </w:tcBorders>
            <w:shd w:val="clear" w:color="auto" w:fill="auto"/>
            <w:noWrap/>
            <w:vAlign w:val="bottom"/>
            <w:hideMark/>
          </w:tcPr>
          <w:p w14:paraId="51E6F95E" w14:textId="77777777" w:rsidR="00AA3A5F" w:rsidRPr="005F142E" w:rsidRDefault="00AA3A5F" w:rsidP="007A68D5">
            <w:pPr>
              <w:jc w:val="center"/>
              <w:rPr>
                <w:rFonts w:cs="Times New Roman"/>
                <w:b/>
                <w:bCs/>
                <w:color w:val="000000"/>
                <w:sz w:val="20"/>
                <w:szCs w:val="20"/>
                <w:lang w:val="cs-CZ"/>
              </w:rPr>
            </w:pPr>
            <w:r w:rsidRPr="005F142E">
              <w:rPr>
                <w:rFonts w:cs="Times New Roman"/>
                <w:b/>
                <w:bCs/>
                <w:color w:val="000000"/>
                <w:sz w:val="20"/>
                <w:szCs w:val="20"/>
                <w:lang w:val="cs-CZ"/>
              </w:rPr>
              <w:t>2017</w:t>
            </w:r>
          </w:p>
        </w:tc>
        <w:tc>
          <w:tcPr>
            <w:tcW w:w="332" w:type="pct"/>
            <w:tcBorders>
              <w:top w:val="single" w:sz="12" w:space="0" w:color="auto"/>
              <w:left w:val="nil"/>
              <w:bottom w:val="single" w:sz="8" w:space="0" w:color="auto"/>
              <w:right w:val="single" w:sz="4" w:space="0" w:color="auto"/>
            </w:tcBorders>
            <w:shd w:val="clear" w:color="auto" w:fill="auto"/>
            <w:noWrap/>
            <w:vAlign w:val="bottom"/>
            <w:hideMark/>
          </w:tcPr>
          <w:p w14:paraId="24F97C84" w14:textId="77777777" w:rsidR="00AA3A5F" w:rsidRPr="005F142E" w:rsidRDefault="00AA3A5F" w:rsidP="007A68D5">
            <w:pPr>
              <w:jc w:val="center"/>
              <w:rPr>
                <w:rFonts w:cs="Times New Roman"/>
                <w:b/>
                <w:bCs/>
                <w:color w:val="000000"/>
                <w:sz w:val="20"/>
                <w:szCs w:val="20"/>
                <w:lang w:val="cs-CZ"/>
              </w:rPr>
            </w:pPr>
            <w:r w:rsidRPr="005F142E">
              <w:rPr>
                <w:rFonts w:cs="Times New Roman"/>
                <w:b/>
                <w:bCs/>
                <w:color w:val="000000"/>
                <w:sz w:val="20"/>
                <w:szCs w:val="20"/>
                <w:lang w:val="cs-CZ"/>
              </w:rPr>
              <w:t>2018</w:t>
            </w:r>
          </w:p>
        </w:tc>
        <w:tc>
          <w:tcPr>
            <w:tcW w:w="268" w:type="pct"/>
            <w:tcBorders>
              <w:top w:val="single" w:sz="12" w:space="0" w:color="auto"/>
              <w:left w:val="nil"/>
              <w:bottom w:val="single" w:sz="8" w:space="0" w:color="auto"/>
              <w:right w:val="single" w:sz="4" w:space="0" w:color="auto"/>
            </w:tcBorders>
            <w:vAlign w:val="bottom"/>
          </w:tcPr>
          <w:p w14:paraId="122AA6FA" w14:textId="77777777" w:rsidR="00AA3A5F" w:rsidRPr="005F142E" w:rsidRDefault="00AA3A5F" w:rsidP="007A68D5">
            <w:pPr>
              <w:jc w:val="center"/>
              <w:rPr>
                <w:rFonts w:cs="Times New Roman"/>
                <w:b/>
                <w:bCs/>
                <w:color w:val="000000"/>
                <w:sz w:val="20"/>
                <w:szCs w:val="20"/>
                <w:lang w:val="cs-CZ"/>
              </w:rPr>
            </w:pPr>
            <w:r w:rsidRPr="005F142E">
              <w:rPr>
                <w:rFonts w:cs="Times New Roman"/>
                <w:b/>
                <w:bCs/>
                <w:color w:val="000000"/>
                <w:sz w:val="20"/>
                <w:szCs w:val="20"/>
                <w:lang w:val="cs-CZ"/>
              </w:rPr>
              <w:t>2019</w:t>
            </w:r>
          </w:p>
        </w:tc>
        <w:tc>
          <w:tcPr>
            <w:tcW w:w="544" w:type="pct"/>
            <w:tcBorders>
              <w:top w:val="single" w:sz="12" w:space="0" w:color="auto"/>
              <w:left w:val="single" w:sz="4" w:space="0" w:color="auto"/>
              <w:bottom w:val="single" w:sz="8" w:space="0" w:color="auto"/>
              <w:right w:val="single" w:sz="12" w:space="0" w:color="auto"/>
            </w:tcBorders>
            <w:shd w:val="clear" w:color="auto" w:fill="auto"/>
            <w:vAlign w:val="bottom"/>
            <w:hideMark/>
          </w:tcPr>
          <w:p w14:paraId="09548231" w14:textId="77777777" w:rsidR="00AA3A5F" w:rsidRPr="005F142E" w:rsidRDefault="00AA3A5F" w:rsidP="007A68D5">
            <w:pPr>
              <w:jc w:val="center"/>
              <w:rPr>
                <w:rFonts w:cs="Times New Roman"/>
                <w:b/>
                <w:bCs/>
                <w:color w:val="000000"/>
                <w:sz w:val="20"/>
                <w:szCs w:val="20"/>
                <w:lang w:val="cs-CZ"/>
              </w:rPr>
            </w:pPr>
            <w:r w:rsidRPr="005F142E">
              <w:rPr>
                <w:rFonts w:cs="Times New Roman"/>
                <w:b/>
                <w:bCs/>
                <w:color w:val="000000"/>
                <w:sz w:val="20"/>
                <w:szCs w:val="20"/>
                <w:lang w:val="cs-CZ"/>
              </w:rPr>
              <w:t>Meziroční index</w:t>
            </w:r>
          </w:p>
        </w:tc>
      </w:tr>
      <w:tr w:rsidR="00AA3A5F" w:rsidRPr="005F142E" w14:paraId="3DF2B6F1" w14:textId="77777777" w:rsidTr="007A68D5">
        <w:trPr>
          <w:trHeight w:val="300"/>
        </w:trPr>
        <w:tc>
          <w:tcPr>
            <w:tcW w:w="962" w:type="pct"/>
            <w:tcBorders>
              <w:top w:val="nil"/>
              <w:left w:val="single" w:sz="12" w:space="0" w:color="auto"/>
              <w:bottom w:val="single" w:sz="4" w:space="0" w:color="auto"/>
              <w:right w:val="single" w:sz="8" w:space="0" w:color="auto"/>
            </w:tcBorders>
            <w:shd w:val="clear" w:color="auto" w:fill="auto"/>
            <w:noWrap/>
            <w:vAlign w:val="bottom"/>
            <w:hideMark/>
          </w:tcPr>
          <w:p w14:paraId="1EF9B61E" w14:textId="77777777" w:rsidR="00AA3A5F" w:rsidRPr="005F142E" w:rsidRDefault="00AA3A5F" w:rsidP="007A68D5">
            <w:pPr>
              <w:jc w:val="left"/>
              <w:rPr>
                <w:rFonts w:cs="Times New Roman"/>
                <w:b/>
                <w:bCs/>
                <w:color w:val="000000"/>
                <w:sz w:val="20"/>
                <w:szCs w:val="20"/>
                <w:lang w:val="cs-CZ"/>
              </w:rPr>
            </w:pPr>
            <w:r w:rsidRPr="005F142E">
              <w:rPr>
                <w:rFonts w:cs="Times New Roman"/>
                <w:b/>
                <w:bCs/>
                <w:color w:val="000000"/>
                <w:sz w:val="20"/>
                <w:szCs w:val="20"/>
                <w:lang w:val="cs-CZ"/>
              </w:rPr>
              <w:t>Technická pomoc</w:t>
            </w:r>
          </w:p>
        </w:tc>
        <w:tc>
          <w:tcPr>
            <w:tcW w:w="333" w:type="pct"/>
            <w:tcBorders>
              <w:top w:val="nil"/>
              <w:left w:val="nil"/>
              <w:bottom w:val="single" w:sz="4" w:space="0" w:color="auto"/>
              <w:right w:val="single" w:sz="4" w:space="0" w:color="auto"/>
            </w:tcBorders>
            <w:shd w:val="clear" w:color="auto" w:fill="auto"/>
            <w:noWrap/>
            <w:vAlign w:val="bottom"/>
            <w:hideMark/>
          </w:tcPr>
          <w:p w14:paraId="6CCC4FD9"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24 030</w:t>
            </w:r>
          </w:p>
        </w:tc>
        <w:tc>
          <w:tcPr>
            <w:tcW w:w="332" w:type="pct"/>
            <w:tcBorders>
              <w:top w:val="nil"/>
              <w:left w:val="nil"/>
              <w:bottom w:val="single" w:sz="4" w:space="0" w:color="auto"/>
              <w:right w:val="single" w:sz="4" w:space="0" w:color="auto"/>
            </w:tcBorders>
            <w:shd w:val="clear" w:color="auto" w:fill="auto"/>
            <w:noWrap/>
            <w:vAlign w:val="bottom"/>
            <w:hideMark/>
          </w:tcPr>
          <w:p w14:paraId="75202573"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34 460</w:t>
            </w:r>
          </w:p>
        </w:tc>
        <w:tc>
          <w:tcPr>
            <w:tcW w:w="332" w:type="pct"/>
            <w:tcBorders>
              <w:top w:val="nil"/>
              <w:left w:val="nil"/>
              <w:bottom w:val="single" w:sz="4" w:space="0" w:color="auto"/>
              <w:right w:val="single" w:sz="4" w:space="0" w:color="auto"/>
            </w:tcBorders>
            <w:shd w:val="clear" w:color="auto" w:fill="auto"/>
            <w:noWrap/>
            <w:vAlign w:val="bottom"/>
            <w:hideMark/>
          </w:tcPr>
          <w:p w14:paraId="6D49A316"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36 897</w:t>
            </w:r>
          </w:p>
        </w:tc>
        <w:tc>
          <w:tcPr>
            <w:tcW w:w="332" w:type="pct"/>
            <w:tcBorders>
              <w:top w:val="nil"/>
              <w:left w:val="nil"/>
              <w:bottom w:val="single" w:sz="4" w:space="0" w:color="auto"/>
              <w:right w:val="single" w:sz="4" w:space="0" w:color="auto"/>
            </w:tcBorders>
            <w:shd w:val="clear" w:color="auto" w:fill="auto"/>
            <w:noWrap/>
            <w:vAlign w:val="bottom"/>
            <w:hideMark/>
          </w:tcPr>
          <w:p w14:paraId="3D027C00"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35 629</w:t>
            </w:r>
          </w:p>
        </w:tc>
        <w:tc>
          <w:tcPr>
            <w:tcW w:w="332" w:type="pct"/>
            <w:tcBorders>
              <w:top w:val="nil"/>
              <w:left w:val="nil"/>
              <w:bottom w:val="single" w:sz="4" w:space="0" w:color="auto"/>
              <w:right w:val="single" w:sz="4" w:space="0" w:color="auto"/>
            </w:tcBorders>
            <w:shd w:val="clear" w:color="auto" w:fill="auto"/>
            <w:noWrap/>
            <w:vAlign w:val="bottom"/>
            <w:hideMark/>
          </w:tcPr>
          <w:p w14:paraId="235BF354"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34 307</w:t>
            </w:r>
          </w:p>
        </w:tc>
        <w:tc>
          <w:tcPr>
            <w:tcW w:w="427" w:type="pct"/>
            <w:tcBorders>
              <w:top w:val="nil"/>
              <w:left w:val="nil"/>
              <w:bottom w:val="single" w:sz="4" w:space="0" w:color="auto"/>
              <w:right w:val="single" w:sz="4" w:space="0" w:color="auto"/>
            </w:tcBorders>
            <w:shd w:val="clear" w:color="auto" w:fill="auto"/>
            <w:noWrap/>
            <w:vAlign w:val="bottom"/>
            <w:hideMark/>
          </w:tcPr>
          <w:p w14:paraId="1992A380"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26 877</w:t>
            </w:r>
          </w:p>
        </w:tc>
        <w:tc>
          <w:tcPr>
            <w:tcW w:w="380" w:type="pct"/>
            <w:tcBorders>
              <w:top w:val="nil"/>
              <w:left w:val="nil"/>
              <w:bottom w:val="single" w:sz="4" w:space="0" w:color="auto"/>
              <w:right w:val="single" w:sz="4" w:space="0" w:color="auto"/>
            </w:tcBorders>
            <w:shd w:val="clear" w:color="auto" w:fill="auto"/>
            <w:noWrap/>
            <w:vAlign w:val="bottom"/>
            <w:hideMark/>
          </w:tcPr>
          <w:p w14:paraId="29973201"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31 264</w:t>
            </w:r>
          </w:p>
        </w:tc>
        <w:tc>
          <w:tcPr>
            <w:tcW w:w="427" w:type="pct"/>
            <w:tcBorders>
              <w:top w:val="nil"/>
              <w:left w:val="nil"/>
              <w:bottom w:val="single" w:sz="4" w:space="0" w:color="auto"/>
              <w:right w:val="single" w:sz="4" w:space="0" w:color="auto"/>
            </w:tcBorders>
            <w:shd w:val="clear" w:color="auto" w:fill="auto"/>
            <w:noWrap/>
            <w:vAlign w:val="bottom"/>
            <w:hideMark/>
          </w:tcPr>
          <w:p w14:paraId="2866154D"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35 882</w:t>
            </w:r>
          </w:p>
        </w:tc>
        <w:tc>
          <w:tcPr>
            <w:tcW w:w="332" w:type="pct"/>
            <w:tcBorders>
              <w:top w:val="nil"/>
              <w:left w:val="nil"/>
              <w:bottom w:val="single" w:sz="4" w:space="0" w:color="auto"/>
              <w:right w:val="single" w:sz="4" w:space="0" w:color="auto"/>
            </w:tcBorders>
            <w:shd w:val="clear" w:color="auto" w:fill="auto"/>
            <w:noWrap/>
            <w:vAlign w:val="bottom"/>
            <w:hideMark/>
          </w:tcPr>
          <w:p w14:paraId="6F4BE2A4"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25 576</w:t>
            </w:r>
          </w:p>
        </w:tc>
        <w:tc>
          <w:tcPr>
            <w:tcW w:w="145" w:type="pct"/>
            <w:tcBorders>
              <w:top w:val="nil"/>
              <w:left w:val="nil"/>
              <w:bottom w:val="single" w:sz="4" w:space="0" w:color="auto"/>
              <w:right w:val="single" w:sz="4" w:space="0" w:color="auto"/>
            </w:tcBorders>
          </w:tcPr>
          <w:p w14:paraId="4D42AC35"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25 050</w:t>
            </w:r>
          </w:p>
        </w:tc>
        <w:tc>
          <w:tcPr>
            <w:tcW w:w="666" w:type="pct"/>
            <w:tcBorders>
              <w:top w:val="nil"/>
              <w:left w:val="single" w:sz="4" w:space="0" w:color="auto"/>
              <w:bottom w:val="single" w:sz="4" w:space="0" w:color="auto"/>
              <w:right w:val="single" w:sz="12" w:space="0" w:color="auto"/>
            </w:tcBorders>
            <w:shd w:val="clear" w:color="auto" w:fill="auto"/>
            <w:noWrap/>
            <w:vAlign w:val="bottom"/>
          </w:tcPr>
          <w:p w14:paraId="11D54632"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97,9</w:t>
            </w:r>
          </w:p>
        </w:tc>
      </w:tr>
      <w:tr w:rsidR="00AA3A5F" w:rsidRPr="005F142E" w14:paraId="58F38FD2" w14:textId="77777777" w:rsidTr="007A68D5">
        <w:trPr>
          <w:trHeight w:val="300"/>
        </w:trPr>
        <w:tc>
          <w:tcPr>
            <w:tcW w:w="962" w:type="pct"/>
            <w:tcBorders>
              <w:top w:val="nil"/>
              <w:left w:val="single" w:sz="12" w:space="0" w:color="auto"/>
              <w:bottom w:val="single" w:sz="4" w:space="0" w:color="auto"/>
              <w:right w:val="single" w:sz="8" w:space="0" w:color="auto"/>
            </w:tcBorders>
            <w:shd w:val="clear" w:color="auto" w:fill="auto"/>
            <w:noWrap/>
            <w:vAlign w:val="bottom"/>
            <w:hideMark/>
          </w:tcPr>
          <w:p w14:paraId="23612008" w14:textId="77777777" w:rsidR="00AA3A5F" w:rsidRPr="005F142E" w:rsidRDefault="00AA3A5F" w:rsidP="007A68D5">
            <w:pPr>
              <w:jc w:val="left"/>
              <w:rPr>
                <w:rFonts w:cs="Times New Roman"/>
                <w:b/>
                <w:bCs/>
                <w:color w:val="000000"/>
                <w:sz w:val="20"/>
                <w:szCs w:val="20"/>
                <w:lang w:val="cs-CZ"/>
              </w:rPr>
            </w:pPr>
            <w:r w:rsidRPr="005F142E">
              <w:rPr>
                <w:rFonts w:cs="Times New Roman"/>
                <w:b/>
                <w:bCs/>
                <w:color w:val="000000"/>
                <w:sz w:val="20"/>
                <w:szCs w:val="20"/>
                <w:lang w:val="cs-CZ"/>
              </w:rPr>
              <w:t>Boj proti varroáze</w:t>
            </w:r>
          </w:p>
        </w:tc>
        <w:tc>
          <w:tcPr>
            <w:tcW w:w="333" w:type="pct"/>
            <w:tcBorders>
              <w:top w:val="nil"/>
              <w:left w:val="nil"/>
              <w:bottom w:val="single" w:sz="4" w:space="0" w:color="auto"/>
              <w:right w:val="single" w:sz="4" w:space="0" w:color="auto"/>
            </w:tcBorders>
            <w:shd w:val="clear" w:color="auto" w:fill="auto"/>
            <w:noWrap/>
            <w:vAlign w:val="bottom"/>
            <w:hideMark/>
          </w:tcPr>
          <w:p w14:paraId="60169CA2"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11 448</w:t>
            </w:r>
          </w:p>
        </w:tc>
        <w:tc>
          <w:tcPr>
            <w:tcW w:w="332" w:type="pct"/>
            <w:tcBorders>
              <w:top w:val="nil"/>
              <w:left w:val="nil"/>
              <w:bottom w:val="single" w:sz="4" w:space="0" w:color="auto"/>
              <w:right w:val="single" w:sz="4" w:space="0" w:color="auto"/>
            </w:tcBorders>
            <w:shd w:val="clear" w:color="auto" w:fill="auto"/>
            <w:noWrap/>
            <w:vAlign w:val="bottom"/>
            <w:hideMark/>
          </w:tcPr>
          <w:p w14:paraId="5E83E8DD"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11 112</w:t>
            </w:r>
          </w:p>
        </w:tc>
        <w:tc>
          <w:tcPr>
            <w:tcW w:w="332" w:type="pct"/>
            <w:tcBorders>
              <w:top w:val="nil"/>
              <w:left w:val="nil"/>
              <w:bottom w:val="single" w:sz="4" w:space="0" w:color="auto"/>
              <w:right w:val="single" w:sz="4" w:space="0" w:color="auto"/>
            </w:tcBorders>
            <w:shd w:val="clear" w:color="auto" w:fill="auto"/>
            <w:noWrap/>
            <w:vAlign w:val="bottom"/>
            <w:hideMark/>
          </w:tcPr>
          <w:p w14:paraId="0589435A"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15 949</w:t>
            </w:r>
          </w:p>
        </w:tc>
        <w:tc>
          <w:tcPr>
            <w:tcW w:w="332" w:type="pct"/>
            <w:tcBorders>
              <w:top w:val="nil"/>
              <w:left w:val="nil"/>
              <w:bottom w:val="single" w:sz="4" w:space="0" w:color="auto"/>
              <w:right w:val="single" w:sz="4" w:space="0" w:color="auto"/>
            </w:tcBorders>
            <w:shd w:val="clear" w:color="auto" w:fill="auto"/>
            <w:noWrap/>
            <w:vAlign w:val="bottom"/>
            <w:hideMark/>
          </w:tcPr>
          <w:p w14:paraId="7DE977BB"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18 932</w:t>
            </w:r>
          </w:p>
        </w:tc>
        <w:tc>
          <w:tcPr>
            <w:tcW w:w="332" w:type="pct"/>
            <w:tcBorders>
              <w:top w:val="nil"/>
              <w:left w:val="nil"/>
              <w:bottom w:val="single" w:sz="4" w:space="0" w:color="auto"/>
              <w:right w:val="single" w:sz="4" w:space="0" w:color="auto"/>
            </w:tcBorders>
            <w:shd w:val="clear" w:color="auto" w:fill="auto"/>
            <w:noWrap/>
            <w:vAlign w:val="bottom"/>
            <w:hideMark/>
          </w:tcPr>
          <w:p w14:paraId="00A34F4D"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17 238</w:t>
            </w:r>
          </w:p>
        </w:tc>
        <w:tc>
          <w:tcPr>
            <w:tcW w:w="427" w:type="pct"/>
            <w:tcBorders>
              <w:top w:val="nil"/>
              <w:left w:val="nil"/>
              <w:bottom w:val="single" w:sz="4" w:space="0" w:color="auto"/>
              <w:right w:val="single" w:sz="4" w:space="0" w:color="auto"/>
            </w:tcBorders>
            <w:shd w:val="clear" w:color="auto" w:fill="auto"/>
            <w:noWrap/>
            <w:vAlign w:val="bottom"/>
            <w:hideMark/>
          </w:tcPr>
          <w:p w14:paraId="1425F4F2"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27 513</w:t>
            </w:r>
          </w:p>
        </w:tc>
        <w:tc>
          <w:tcPr>
            <w:tcW w:w="380" w:type="pct"/>
            <w:tcBorders>
              <w:top w:val="nil"/>
              <w:left w:val="nil"/>
              <w:bottom w:val="single" w:sz="4" w:space="0" w:color="auto"/>
              <w:right w:val="single" w:sz="4" w:space="0" w:color="auto"/>
            </w:tcBorders>
            <w:shd w:val="clear" w:color="auto" w:fill="auto"/>
            <w:noWrap/>
            <w:vAlign w:val="bottom"/>
            <w:hideMark/>
          </w:tcPr>
          <w:p w14:paraId="0F32B5B2"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23 263</w:t>
            </w:r>
          </w:p>
        </w:tc>
        <w:tc>
          <w:tcPr>
            <w:tcW w:w="427" w:type="pct"/>
            <w:tcBorders>
              <w:top w:val="nil"/>
              <w:left w:val="nil"/>
              <w:bottom w:val="single" w:sz="4" w:space="0" w:color="auto"/>
              <w:right w:val="single" w:sz="4" w:space="0" w:color="auto"/>
            </w:tcBorders>
            <w:shd w:val="clear" w:color="auto" w:fill="auto"/>
            <w:noWrap/>
            <w:vAlign w:val="bottom"/>
            <w:hideMark/>
          </w:tcPr>
          <w:p w14:paraId="27711B1C"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25 574</w:t>
            </w:r>
          </w:p>
        </w:tc>
        <w:tc>
          <w:tcPr>
            <w:tcW w:w="332" w:type="pct"/>
            <w:tcBorders>
              <w:top w:val="nil"/>
              <w:left w:val="nil"/>
              <w:bottom w:val="single" w:sz="4" w:space="0" w:color="auto"/>
              <w:right w:val="single" w:sz="4" w:space="0" w:color="auto"/>
            </w:tcBorders>
            <w:shd w:val="clear" w:color="auto" w:fill="auto"/>
            <w:noWrap/>
            <w:vAlign w:val="bottom"/>
            <w:hideMark/>
          </w:tcPr>
          <w:p w14:paraId="3929CE29"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30 155</w:t>
            </w:r>
          </w:p>
        </w:tc>
        <w:tc>
          <w:tcPr>
            <w:tcW w:w="145" w:type="pct"/>
            <w:tcBorders>
              <w:top w:val="nil"/>
              <w:left w:val="nil"/>
              <w:bottom w:val="single" w:sz="4" w:space="0" w:color="auto"/>
              <w:right w:val="single" w:sz="4" w:space="0" w:color="auto"/>
            </w:tcBorders>
          </w:tcPr>
          <w:p w14:paraId="13D6D9F2"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32 180</w:t>
            </w:r>
          </w:p>
        </w:tc>
        <w:tc>
          <w:tcPr>
            <w:tcW w:w="666" w:type="pct"/>
            <w:tcBorders>
              <w:top w:val="nil"/>
              <w:left w:val="single" w:sz="4" w:space="0" w:color="auto"/>
              <w:bottom w:val="single" w:sz="4" w:space="0" w:color="auto"/>
              <w:right w:val="single" w:sz="12" w:space="0" w:color="auto"/>
            </w:tcBorders>
            <w:shd w:val="clear" w:color="auto" w:fill="auto"/>
            <w:noWrap/>
            <w:vAlign w:val="bottom"/>
          </w:tcPr>
          <w:p w14:paraId="3473C905"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106,7</w:t>
            </w:r>
          </w:p>
        </w:tc>
      </w:tr>
      <w:tr w:rsidR="00AA3A5F" w:rsidRPr="005F142E" w14:paraId="1297D5B7" w14:textId="77777777" w:rsidTr="007A68D5">
        <w:trPr>
          <w:trHeight w:val="300"/>
        </w:trPr>
        <w:tc>
          <w:tcPr>
            <w:tcW w:w="962" w:type="pct"/>
            <w:tcBorders>
              <w:top w:val="nil"/>
              <w:left w:val="single" w:sz="12" w:space="0" w:color="auto"/>
              <w:bottom w:val="single" w:sz="4" w:space="0" w:color="auto"/>
              <w:right w:val="single" w:sz="8" w:space="0" w:color="auto"/>
            </w:tcBorders>
            <w:shd w:val="clear" w:color="auto" w:fill="auto"/>
            <w:noWrap/>
            <w:vAlign w:val="bottom"/>
            <w:hideMark/>
          </w:tcPr>
          <w:p w14:paraId="12E13E50" w14:textId="77777777" w:rsidR="00AA3A5F" w:rsidRPr="005F142E" w:rsidRDefault="00AA3A5F" w:rsidP="007A68D5">
            <w:pPr>
              <w:jc w:val="left"/>
              <w:rPr>
                <w:rFonts w:cs="Times New Roman"/>
                <w:b/>
                <w:bCs/>
                <w:color w:val="000000"/>
                <w:sz w:val="20"/>
                <w:szCs w:val="20"/>
                <w:lang w:val="cs-CZ"/>
              </w:rPr>
            </w:pPr>
            <w:r w:rsidRPr="005F142E">
              <w:rPr>
                <w:rFonts w:cs="Times New Roman"/>
                <w:b/>
                <w:bCs/>
                <w:color w:val="000000"/>
                <w:sz w:val="20"/>
                <w:szCs w:val="20"/>
                <w:lang w:val="cs-CZ"/>
              </w:rPr>
              <w:t>Racionalizace kočování</w:t>
            </w:r>
          </w:p>
        </w:tc>
        <w:tc>
          <w:tcPr>
            <w:tcW w:w="333" w:type="pct"/>
            <w:tcBorders>
              <w:top w:val="nil"/>
              <w:left w:val="nil"/>
              <w:bottom w:val="single" w:sz="4" w:space="0" w:color="auto"/>
              <w:right w:val="single" w:sz="4" w:space="0" w:color="auto"/>
            </w:tcBorders>
            <w:shd w:val="clear" w:color="auto" w:fill="auto"/>
            <w:noWrap/>
            <w:vAlign w:val="bottom"/>
            <w:hideMark/>
          </w:tcPr>
          <w:p w14:paraId="6620406D"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11 503</w:t>
            </w:r>
          </w:p>
        </w:tc>
        <w:tc>
          <w:tcPr>
            <w:tcW w:w="332" w:type="pct"/>
            <w:tcBorders>
              <w:top w:val="nil"/>
              <w:left w:val="nil"/>
              <w:bottom w:val="single" w:sz="4" w:space="0" w:color="auto"/>
              <w:right w:val="single" w:sz="4" w:space="0" w:color="auto"/>
            </w:tcBorders>
            <w:shd w:val="clear" w:color="auto" w:fill="auto"/>
            <w:noWrap/>
            <w:vAlign w:val="bottom"/>
            <w:hideMark/>
          </w:tcPr>
          <w:p w14:paraId="7E548CBB"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5 016</w:t>
            </w:r>
          </w:p>
        </w:tc>
        <w:tc>
          <w:tcPr>
            <w:tcW w:w="332" w:type="pct"/>
            <w:tcBorders>
              <w:top w:val="nil"/>
              <w:left w:val="nil"/>
              <w:bottom w:val="single" w:sz="4" w:space="0" w:color="auto"/>
              <w:right w:val="single" w:sz="4" w:space="0" w:color="auto"/>
            </w:tcBorders>
            <w:shd w:val="clear" w:color="auto" w:fill="auto"/>
            <w:noWrap/>
            <w:vAlign w:val="bottom"/>
            <w:hideMark/>
          </w:tcPr>
          <w:p w14:paraId="0CA7DACC"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4 478</w:t>
            </w:r>
          </w:p>
        </w:tc>
        <w:tc>
          <w:tcPr>
            <w:tcW w:w="332" w:type="pct"/>
            <w:tcBorders>
              <w:top w:val="nil"/>
              <w:left w:val="nil"/>
              <w:bottom w:val="single" w:sz="4" w:space="0" w:color="auto"/>
              <w:right w:val="single" w:sz="4" w:space="0" w:color="auto"/>
            </w:tcBorders>
            <w:shd w:val="clear" w:color="auto" w:fill="auto"/>
            <w:noWrap/>
            <w:vAlign w:val="bottom"/>
            <w:hideMark/>
          </w:tcPr>
          <w:p w14:paraId="1E817723"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3 867</w:t>
            </w:r>
          </w:p>
        </w:tc>
        <w:tc>
          <w:tcPr>
            <w:tcW w:w="332" w:type="pct"/>
            <w:tcBorders>
              <w:top w:val="nil"/>
              <w:left w:val="nil"/>
              <w:bottom w:val="single" w:sz="4" w:space="0" w:color="auto"/>
              <w:right w:val="single" w:sz="4" w:space="0" w:color="auto"/>
            </w:tcBorders>
            <w:shd w:val="clear" w:color="auto" w:fill="auto"/>
            <w:noWrap/>
            <w:vAlign w:val="bottom"/>
            <w:hideMark/>
          </w:tcPr>
          <w:p w14:paraId="67C447F0"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2 259</w:t>
            </w:r>
          </w:p>
        </w:tc>
        <w:tc>
          <w:tcPr>
            <w:tcW w:w="427" w:type="pct"/>
            <w:tcBorders>
              <w:top w:val="nil"/>
              <w:left w:val="nil"/>
              <w:bottom w:val="single" w:sz="4" w:space="0" w:color="auto"/>
              <w:right w:val="single" w:sz="4" w:space="0" w:color="auto"/>
            </w:tcBorders>
            <w:shd w:val="clear" w:color="auto" w:fill="auto"/>
            <w:noWrap/>
            <w:vAlign w:val="bottom"/>
            <w:hideMark/>
          </w:tcPr>
          <w:p w14:paraId="7008B44D"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2 159</w:t>
            </w:r>
          </w:p>
        </w:tc>
        <w:tc>
          <w:tcPr>
            <w:tcW w:w="380" w:type="pct"/>
            <w:tcBorders>
              <w:top w:val="nil"/>
              <w:left w:val="nil"/>
              <w:bottom w:val="single" w:sz="4" w:space="0" w:color="auto"/>
              <w:right w:val="single" w:sz="4" w:space="0" w:color="auto"/>
            </w:tcBorders>
            <w:shd w:val="clear" w:color="auto" w:fill="auto"/>
            <w:noWrap/>
            <w:vAlign w:val="bottom"/>
            <w:hideMark/>
          </w:tcPr>
          <w:p w14:paraId="18F9E051"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2 320</w:t>
            </w:r>
          </w:p>
        </w:tc>
        <w:tc>
          <w:tcPr>
            <w:tcW w:w="427" w:type="pct"/>
            <w:tcBorders>
              <w:top w:val="nil"/>
              <w:left w:val="nil"/>
              <w:bottom w:val="single" w:sz="4" w:space="0" w:color="auto"/>
              <w:right w:val="single" w:sz="4" w:space="0" w:color="auto"/>
            </w:tcBorders>
            <w:shd w:val="clear" w:color="auto" w:fill="auto"/>
            <w:noWrap/>
            <w:vAlign w:val="bottom"/>
            <w:hideMark/>
          </w:tcPr>
          <w:p w14:paraId="451F3E18"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2 082</w:t>
            </w:r>
          </w:p>
        </w:tc>
        <w:tc>
          <w:tcPr>
            <w:tcW w:w="332" w:type="pct"/>
            <w:tcBorders>
              <w:top w:val="nil"/>
              <w:left w:val="nil"/>
              <w:bottom w:val="single" w:sz="4" w:space="0" w:color="auto"/>
              <w:right w:val="single" w:sz="4" w:space="0" w:color="auto"/>
            </w:tcBorders>
            <w:shd w:val="clear" w:color="auto" w:fill="auto"/>
            <w:noWrap/>
            <w:vAlign w:val="bottom"/>
            <w:hideMark/>
          </w:tcPr>
          <w:p w14:paraId="5A9E012C"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1 650</w:t>
            </w:r>
          </w:p>
        </w:tc>
        <w:tc>
          <w:tcPr>
            <w:tcW w:w="145" w:type="pct"/>
            <w:tcBorders>
              <w:top w:val="nil"/>
              <w:left w:val="nil"/>
              <w:bottom w:val="single" w:sz="4" w:space="0" w:color="auto"/>
              <w:right w:val="single" w:sz="4" w:space="0" w:color="auto"/>
            </w:tcBorders>
          </w:tcPr>
          <w:p w14:paraId="7A9FE8BF"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1 031</w:t>
            </w:r>
          </w:p>
        </w:tc>
        <w:tc>
          <w:tcPr>
            <w:tcW w:w="666" w:type="pct"/>
            <w:tcBorders>
              <w:top w:val="nil"/>
              <w:left w:val="single" w:sz="4" w:space="0" w:color="auto"/>
              <w:bottom w:val="single" w:sz="4" w:space="0" w:color="auto"/>
              <w:right w:val="single" w:sz="12" w:space="0" w:color="auto"/>
            </w:tcBorders>
            <w:shd w:val="clear" w:color="auto" w:fill="auto"/>
            <w:noWrap/>
            <w:vAlign w:val="bottom"/>
          </w:tcPr>
          <w:p w14:paraId="63B0D993"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62,5</w:t>
            </w:r>
          </w:p>
        </w:tc>
      </w:tr>
      <w:tr w:rsidR="00AA3A5F" w:rsidRPr="005F142E" w14:paraId="2572C7F2" w14:textId="77777777" w:rsidTr="007A68D5">
        <w:trPr>
          <w:trHeight w:val="300"/>
        </w:trPr>
        <w:tc>
          <w:tcPr>
            <w:tcW w:w="962" w:type="pct"/>
            <w:tcBorders>
              <w:top w:val="nil"/>
              <w:left w:val="single" w:sz="12" w:space="0" w:color="auto"/>
              <w:bottom w:val="single" w:sz="4" w:space="0" w:color="auto"/>
              <w:right w:val="single" w:sz="8" w:space="0" w:color="auto"/>
            </w:tcBorders>
            <w:shd w:val="clear" w:color="auto" w:fill="auto"/>
            <w:noWrap/>
            <w:vAlign w:val="bottom"/>
            <w:hideMark/>
          </w:tcPr>
          <w:p w14:paraId="65EE83E0" w14:textId="77777777" w:rsidR="00AA3A5F" w:rsidRPr="005F142E" w:rsidRDefault="00AA3A5F" w:rsidP="007A68D5">
            <w:pPr>
              <w:jc w:val="left"/>
              <w:rPr>
                <w:rFonts w:cs="Times New Roman"/>
                <w:b/>
                <w:bCs/>
                <w:color w:val="000000"/>
                <w:sz w:val="20"/>
                <w:szCs w:val="20"/>
                <w:lang w:val="cs-CZ"/>
              </w:rPr>
            </w:pPr>
            <w:r w:rsidRPr="005F142E">
              <w:rPr>
                <w:rFonts w:cs="Times New Roman"/>
                <w:b/>
                <w:bCs/>
                <w:color w:val="000000"/>
                <w:sz w:val="20"/>
                <w:szCs w:val="20"/>
                <w:lang w:val="cs-CZ"/>
              </w:rPr>
              <w:t>Obnova včelstev</w:t>
            </w:r>
          </w:p>
        </w:tc>
        <w:tc>
          <w:tcPr>
            <w:tcW w:w="333" w:type="pct"/>
            <w:tcBorders>
              <w:top w:val="nil"/>
              <w:left w:val="nil"/>
              <w:bottom w:val="single" w:sz="4" w:space="0" w:color="auto"/>
              <w:right w:val="single" w:sz="4" w:space="0" w:color="auto"/>
            </w:tcBorders>
            <w:shd w:val="clear" w:color="auto" w:fill="auto"/>
            <w:noWrap/>
            <w:vAlign w:val="bottom"/>
            <w:hideMark/>
          </w:tcPr>
          <w:p w14:paraId="0A4623A3"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8 903</w:t>
            </w:r>
          </w:p>
        </w:tc>
        <w:tc>
          <w:tcPr>
            <w:tcW w:w="332" w:type="pct"/>
            <w:tcBorders>
              <w:top w:val="nil"/>
              <w:left w:val="nil"/>
              <w:bottom w:val="single" w:sz="4" w:space="0" w:color="auto"/>
              <w:right w:val="single" w:sz="4" w:space="0" w:color="auto"/>
            </w:tcBorders>
            <w:shd w:val="clear" w:color="auto" w:fill="auto"/>
            <w:noWrap/>
            <w:vAlign w:val="bottom"/>
            <w:hideMark/>
          </w:tcPr>
          <w:p w14:paraId="3FD1CFF9"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8 804</w:t>
            </w:r>
          </w:p>
        </w:tc>
        <w:tc>
          <w:tcPr>
            <w:tcW w:w="332" w:type="pct"/>
            <w:tcBorders>
              <w:top w:val="nil"/>
              <w:left w:val="nil"/>
              <w:bottom w:val="single" w:sz="4" w:space="0" w:color="auto"/>
              <w:right w:val="single" w:sz="4" w:space="0" w:color="auto"/>
            </w:tcBorders>
            <w:shd w:val="clear" w:color="auto" w:fill="auto"/>
            <w:noWrap/>
            <w:vAlign w:val="bottom"/>
            <w:hideMark/>
          </w:tcPr>
          <w:p w14:paraId="6F24604A"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8 159</w:t>
            </w:r>
          </w:p>
        </w:tc>
        <w:tc>
          <w:tcPr>
            <w:tcW w:w="332" w:type="pct"/>
            <w:tcBorders>
              <w:top w:val="nil"/>
              <w:left w:val="nil"/>
              <w:bottom w:val="single" w:sz="4" w:space="0" w:color="auto"/>
              <w:right w:val="single" w:sz="4" w:space="0" w:color="auto"/>
            </w:tcBorders>
            <w:shd w:val="clear" w:color="auto" w:fill="auto"/>
            <w:noWrap/>
            <w:vAlign w:val="bottom"/>
            <w:hideMark/>
          </w:tcPr>
          <w:p w14:paraId="618EF91B"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7 286</w:t>
            </w:r>
          </w:p>
        </w:tc>
        <w:tc>
          <w:tcPr>
            <w:tcW w:w="332" w:type="pct"/>
            <w:tcBorders>
              <w:top w:val="nil"/>
              <w:left w:val="nil"/>
              <w:bottom w:val="single" w:sz="4" w:space="0" w:color="auto"/>
              <w:right w:val="single" w:sz="4" w:space="0" w:color="auto"/>
            </w:tcBorders>
            <w:shd w:val="clear" w:color="auto" w:fill="auto"/>
            <w:noWrap/>
            <w:vAlign w:val="bottom"/>
            <w:hideMark/>
          </w:tcPr>
          <w:p w14:paraId="44F77552"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9 465</w:t>
            </w:r>
          </w:p>
        </w:tc>
        <w:tc>
          <w:tcPr>
            <w:tcW w:w="427" w:type="pct"/>
            <w:tcBorders>
              <w:top w:val="nil"/>
              <w:left w:val="nil"/>
              <w:bottom w:val="single" w:sz="4" w:space="0" w:color="auto"/>
              <w:right w:val="single" w:sz="4" w:space="0" w:color="auto"/>
            </w:tcBorders>
            <w:shd w:val="clear" w:color="auto" w:fill="auto"/>
            <w:noWrap/>
            <w:vAlign w:val="bottom"/>
            <w:hideMark/>
          </w:tcPr>
          <w:p w14:paraId="645CB5EF"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7 414</w:t>
            </w:r>
          </w:p>
        </w:tc>
        <w:tc>
          <w:tcPr>
            <w:tcW w:w="380" w:type="pct"/>
            <w:tcBorders>
              <w:top w:val="nil"/>
              <w:left w:val="nil"/>
              <w:bottom w:val="single" w:sz="4" w:space="0" w:color="auto"/>
              <w:right w:val="single" w:sz="4" w:space="0" w:color="auto"/>
            </w:tcBorders>
            <w:shd w:val="clear" w:color="auto" w:fill="auto"/>
            <w:noWrap/>
            <w:vAlign w:val="bottom"/>
            <w:hideMark/>
          </w:tcPr>
          <w:p w14:paraId="53BC8849"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5 394</w:t>
            </w:r>
          </w:p>
        </w:tc>
        <w:tc>
          <w:tcPr>
            <w:tcW w:w="427" w:type="pct"/>
            <w:tcBorders>
              <w:top w:val="nil"/>
              <w:left w:val="nil"/>
              <w:bottom w:val="single" w:sz="4" w:space="0" w:color="auto"/>
              <w:right w:val="single" w:sz="4" w:space="0" w:color="auto"/>
            </w:tcBorders>
            <w:shd w:val="clear" w:color="auto" w:fill="auto"/>
            <w:noWrap/>
            <w:vAlign w:val="bottom"/>
            <w:hideMark/>
          </w:tcPr>
          <w:p w14:paraId="02C53908"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3 532</w:t>
            </w:r>
          </w:p>
        </w:tc>
        <w:tc>
          <w:tcPr>
            <w:tcW w:w="332" w:type="pct"/>
            <w:tcBorders>
              <w:top w:val="nil"/>
              <w:left w:val="nil"/>
              <w:bottom w:val="single" w:sz="4" w:space="0" w:color="auto"/>
              <w:right w:val="single" w:sz="4" w:space="0" w:color="auto"/>
            </w:tcBorders>
            <w:shd w:val="clear" w:color="auto" w:fill="auto"/>
            <w:noWrap/>
            <w:vAlign w:val="bottom"/>
            <w:hideMark/>
          </w:tcPr>
          <w:p w14:paraId="63299995"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5 635</w:t>
            </w:r>
          </w:p>
        </w:tc>
        <w:tc>
          <w:tcPr>
            <w:tcW w:w="145" w:type="pct"/>
            <w:tcBorders>
              <w:top w:val="nil"/>
              <w:left w:val="nil"/>
              <w:bottom w:val="single" w:sz="4" w:space="0" w:color="auto"/>
              <w:right w:val="single" w:sz="4" w:space="0" w:color="auto"/>
            </w:tcBorders>
          </w:tcPr>
          <w:p w14:paraId="4DF5D361"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5 348</w:t>
            </w:r>
          </w:p>
        </w:tc>
        <w:tc>
          <w:tcPr>
            <w:tcW w:w="666" w:type="pct"/>
            <w:tcBorders>
              <w:top w:val="nil"/>
              <w:left w:val="single" w:sz="4" w:space="0" w:color="auto"/>
              <w:bottom w:val="single" w:sz="4" w:space="0" w:color="auto"/>
              <w:right w:val="single" w:sz="12" w:space="0" w:color="auto"/>
            </w:tcBorders>
            <w:shd w:val="clear" w:color="auto" w:fill="auto"/>
            <w:noWrap/>
            <w:vAlign w:val="bottom"/>
          </w:tcPr>
          <w:p w14:paraId="6ABB1072"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94,9</w:t>
            </w:r>
          </w:p>
        </w:tc>
      </w:tr>
      <w:tr w:rsidR="00AA3A5F" w:rsidRPr="005F142E" w14:paraId="4A6126BE" w14:textId="77777777" w:rsidTr="007A68D5">
        <w:trPr>
          <w:trHeight w:val="300"/>
        </w:trPr>
        <w:tc>
          <w:tcPr>
            <w:tcW w:w="962" w:type="pct"/>
            <w:tcBorders>
              <w:top w:val="nil"/>
              <w:left w:val="single" w:sz="12" w:space="0" w:color="auto"/>
              <w:bottom w:val="single" w:sz="4" w:space="0" w:color="auto"/>
              <w:right w:val="single" w:sz="8" w:space="0" w:color="auto"/>
            </w:tcBorders>
            <w:shd w:val="clear" w:color="auto" w:fill="auto"/>
            <w:noWrap/>
            <w:vAlign w:val="bottom"/>
            <w:hideMark/>
          </w:tcPr>
          <w:p w14:paraId="3F6D6349" w14:textId="77777777" w:rsidR="00AA3A5F" w:rsidRPr="005F142E" w:rsidRDefault="00AA3A5F" w:rsidP="007A68D5">
            <w:pPr>
              <w:jc w:val="left"/>
              <w:rPr>
                <w:rFonts w:cs="Times New Roman"/>
                <w:b/>
                <w:bCs/>
                <w:color w:val="000000"/>
                <w:sz w:val="20"/>
                <w:szCs w:val="20"/>
                <w:lang w:val="cs-CZ"/>
              </w:rPr>
            </w:pPr>
            <w:r w:rsidRPr="005F142E">
              <w:rPr>
                <w:rFonts w:cs="Times New Roman"/>
                <w:b/>
                <w:bCs/>
                <w:color w:val="000000"/>
                <w:sz w:val="20"/>
                <w:szCs w:val="20"/>
                <w:lang w:val="cs-CZ"/>
              </w:rPr>
              <w:t>Rozbory medu</w:t>
            </w:r>
          </w:p>
        </w:tc>
        <w:tc>
          <w:tcPr>
            <w:tcW w:w="333" w:type="pct"/>
            <w:tcBorders>
              <w:top w:val="nil"/>
              <w:left w:val="nil"/>
              <w:bottom w:val="single" w:sz="4" w:space="0" w:color="auto"/>
              <w:right w:val="single" w:sz="4" w:space="0" w:color="auto"/>
            </w:tcBorders>
            <w:shd w:val="clear" w:color="auto" w:fill="auto"/>
            <w:noWrap/>
            <w:vAlign w:val="bottom"/>
            <w:hideMark/>
          </w:tcPr>
          <w:p w14:paraId="6286AF39"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503</w:t>
            </w:r>
          </w:p>
        </w:tc>
        <w:tc>
          <w:tcPr>
            <w:tcW w:w="332" w:type="pct"/>
            <w:tcBorders>
              <w:top w:val="nil"/>
              <w:left w:val="nil"/>
              <w:bottom w:val="single" w:sz="4" w:space="0" w:color="auto"/>
              <w:right w:val="single" w:sz="4" w:space="0" w:color="auto"/>
            </w:tcBorders>
            <w:shd w:val="clear" w:color="auto" w:fill="auto"/>
            <w:noWrap/>
            <w:vAlign w:val="bottom"/>
            <w:hideMark/>
          </w:tcPr>
          <w:p w14:paraId="63FD1764"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1 836</w:t>
            </w:r>
          </w:p>
        </w:tc>
        <w:tc>
          <w:tcPr>
            <w:tcW w:w="332" w:type="pct"/>
            <w:tcBorders>
              <w:top w:val="nil"/>
              <w:left w:val="nil"/>
              <w:bottom w:val="single" w:sz="4" w:space="0" w:color="auto"/>
              <w:right w:val="single" w:sz="4" w:space="0" w:color="auto"/>
            </w:tcBorders>
            <w:shd w:val="clear" w:color="auto" w:fill="auto"/>
            <w:noWrap/>
            <w:vAlign w:val="bottom"/>
            <w:hideMark/>
          </w:tcPr>
          <w:p w14:paraId="7F773090"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937</w:t>
            </w:r>
          </w:p>
        </w:tc>
        <w:tc>
          <w:tcPr>
            <w:tcW w:w="332" w:type="pct"/>
            <w:tcBorders>
              <w:top w:val="nil"/>
              <w:left w:val="nil"/>
              <w:bottom w:val="single" w:sz="4" w:space="0" w:color="auto"/>
              <w:right w:val="single" w:sz="4" w:space="0" w:color="auto"/>
            </w:tcBorders>
            <w:shd w:val="clear" w:color="auto" w:fill="auto"/>
            <w:noWrap/>
            <w:vAlign w:val="bottom"/>
            <w:hideMark/>
          </w:tcPr>
          <w:p w14:paraId="1A8F1155"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494</w:t>
            </w:r>
          </w:p>
        </w:tc>
        <w:tc>
          <w:tcPr>
            <w:tcW w:w="332" w:type="pct"/>
            <w:tcBorders>
              <w:top w:val="nil"/>
              <w:left w:val="nil"/>
              <w:bottom w:val="single" w:sz="4" w:space="0" w:color="auto"/>
              <w:right w:val="single" w:sz="4" w:space="0" w:color="auto"/>
            </w:tcBorders>
            <w:shd w:val="clear" w:color="auto" w:fill="auto"/>
            <w:noWrap/>
            <w:vAlign w:val="bottom"/>
            <w:hideMark/>
          </w:tcPr>
          <w:p w14:paraId="7D9897A8"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678</w:t>
            </w:r>
          </w:p>
        </w:tc>
        <w:tc>
          <w:tcPr>
            <w:tcW w:w="427" w:type="pct"/>
            <w:tcBorders>
              <w:top w:val="nil"/>
              <w:left w:val="nil"/>
              <w:bottom w:val="single" w:sz="4" w:space="0" w:color="auto"/>
              <w:right w:val="single" w:sz="4" w:space="0" w:color="auto"/>
            </w:tcBorders>
            <w:shd w:val="clear" w:color="auto" w:fill="auto"/>
            <w:noWrap/>
            <w:vAlign w:val="bottom"/>
            <w:hideMark/>
          </w:tcPr>
          <w:p w14:paraId="61FF078F"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712</w:t>
            </w:r>
          </w:p>
        </w:tc>
        <w:tc>
          <w:tcPr>
            <w:tcW w:w="380" w:type="pct"/>
            <w:tcBorders>
              <w:top w:val="nil"/>
              <w:left w:val="nil"/>
              <w:bottom w:val="single" w:sz="4" w:space="0" w:color="auto"/>
              <w:right w:val="single" w:sz="4" w:space="0" w:color="auto"/>
            </w:tcBorders>
            <w:shd w:val="clear" w:color="auto" w:fill="auto"/>
            <w:noWrap/>
            <w:vAlign w:val="bottom"/>
            <w:hideMark/>
          </w:tcPr>
          <w:p w14:paraId="0FD1D8C9"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693</w:t>
            </w:r>
          </w:p>
        </w:tc>
        <w:tc>
          <w:tcPr>
            <w:tcW w:w="427" w:type="pct"/>
            <w:tcBorders>
              <w:top w:val="nil"/>
              <w:left w:val="nil"/>
              <w:bottom w:val="single" w:sz="4" w:space="0" w:color="auto"/>
              <w:right w:val="single" w:sz="4" w:space="0" w:color="auto"/>
            </w:tcBorders>
            <w:shd w:val="clear" w:color="auto" w:fill="auto"/>
            <w:noWrap/>
            <w:vAlign w:val="bottom"/>
            <w:hideMark/>
          </w:tcPr>
          <w:p w14:paraId="007656B6"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507</w:t>
            </w:r>
          </w:p>
        </w:tc>
        <w:tc>
          <w:tcPr>
            <w:tcW w:w="332" w:type="pct"/>
            <w:tcBorders>
              <w:top w:val="nil"/>
              <w:left w:val="nil"/>
              <w:bottom w:val="single" w:sz="4" w:space="0" w:color="auto"/>
              <w:right w:val="single" w:sz="4" w:space="0" w:color="auto"/>
            </w:tcBorders>
            <w:shd w:val="clear" w:color="auto" w:fill="auto"/>
            <w:noWrap/>
            <w:vAlign w:val="bottom"/>
            <w:hideMark/>
          </w:tcPr>
          <w:p w14:paraId="56E946BA"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847</w:t>
            </w:r>
          </w:p>
        </w:tc>
        <w:tc>
          <w:tcPr>
            <w:tcW w:w="145" w:type="pct"/>
            <w:tcBorders>
              <w:top w:val="nil"/>
              <w:left w:val="nil"/>
              <w:bottom w:val="single" w:sz="4" w:space="0" w:color="auto"/>
              <w:right w:val="single" w:sz="4" w:space="0" w:color="auto"/>
            </w:tcBorders>
          </w:tcPr>
          <w:p w14:paraId="4E4B39C4"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726</w:t>
            </w:r>
          </w:p>
        </w:tc>
        <w:tc>
          <w:tcPr>
            <w:tcW w:w="666" w:type="pct"/>
            <w:tcBorders>
              <w:top w:val="nil"/>
              <w:left w:val="single" w:sz="4" w:space="0" w:color="auto"/>
              <w:bottom w:val="single" w:sz="4" w:space="0" w:color="auto"/>
              <w:right w:val="single" w:sz="12" w:space="0" w:color="auto"/>
            </w:tcBorders>
            <w:shd w:val="clear" w:color="auto" w:fill="auto"/>
            <w:noWrap/>
            <w:vAlign w:val="bottom"/>
          </w:tcPr>
          <w:p w14:paraId="36F40499"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85,7</w:t>
            </w:r>
          </w:p>
        </w:tc>
      </w:tr>
      <w:tr w:rsidR="00AA3A5F" w:rsidRPr="005F142E" w14:paraId="62E25A63" w14:textId="77777777" w:rsidTr="007A68D5">
        <w:trPr>
          <w:trHeight w:val="300"/>
        </w:trPr>
        <w:tc>
          <w:tcPr>
            <w:tcW w:w="962" w:type="pct"/>
            <w:tcBorders>
              <w:top w:val="nil"/>
              <w:left w:val="single" w:sz="12" w:space="0" w:color="auto"/>
              <w:bottom w:val="single" w:sz="4" w:space="0" w:color="auto"/>
              <w:right w:val="single" w:sz="8" w:space="0" w:color="auto"/>
            </w:tcBorders>
            <w:shd w:val="clear" w:color="auto" w:fill="auto"/>
            <w:noWrap/>
            <w:vAlign w:val="bottom"/>
            <w:hideMark/>
          </w:tcPr>
          <w:p w14:paraId="0C18139B" w14:textId="77777777" w:rsidR="00AA3A5F" w:rsidRPr="005F142E" w:rsidRDefault="00AA3A5F" w:rsidP="007A68D5">
            <w:pPr>
              <w:jc w:val="left"/>
              <w:rPr>
                <w:rFonts w:cs="Times New Roman"/>
                <w:b/>
                <w:bCs/>
                <w:color w:val="000000"/>
                <w:sz w:val="20"/>
                <w:szCs w:val="20"/>
                <w:lang w:val="cs-CZ"/>
              </w:rPr>
            </w:pPr>
            <w:r w:rsidRPr="005F142E">
              <w:rPr>
                <w:rFonts w:cs="Times New Roman"/>
                <w:b/>
                <w:bCs/>
                <w:color w:val="000000"/>
                <w:sz w:val="20"/>
                <w:szCs w:val="20"/>
                <w:lang w:val="cs-CZ"/>
              </w:rPr>
              <w:t>Celkem čerpáno</w:t>
            </w:r>
          </w:p>
        </w:tc>
        <w:tc>
          <w:tcPr>
            <w:tcW w:w="333" w:type="pct"/>
            <w:tcBorders>
              <w:top w:val="nil"/>
              <w:left w:val="nil"/>
              <w:bottom w:val="single" w:sz="4" w:space="0" w:color="auto"/>
              <w:right w:val="single" w:sz="4" w:space="0" w:color="auto"/>
            </w:tcBorders>
            <w:shd w:val="clear" w:color="auto" w:fill="auto"/>
            <w:noWrap/>
            <w:vAlign w:val="bottom"/>
            <w:hideMark/>
          </w:tcPr>
          <w:p w14:paraId="12B4C6DA"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56 387</w:t>
            </w:r>
          </w:p>
        </w:tc>
        <w:tc>
          <w:tcPr>
            <w:tcW w:w="332" w:type="pct"/>
            <w:tcBorders>
              <w:top w:val="nil"/>
              <w:left w:val="nil"/>
              <w:bottom w:val="single" w:sz="4" w:space="0" w:color="auto"/>
              <w:right w:val="single" w:sz="4" w:space="0" w:color="auto"/>
            </w:tcBorders>
            <w:shd w:val="clear" w:color="auto" w:fill="auto"/>
            <w:noWrap/>
            <w:vAlign w:val="bottom"/>
            <w:hideMark/>
          </w:tcPr>
          <w:p w14:paraId="3C3D4CBF"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61 231</w:t>
            </w:r>
          </w:p>
        </w:tc>
        <w:tc>
          <w:tcPr>
            <w:tcW w:w="332" w:type="pct"/>
            <w:tcBorders>
              <w:top w:val="nil"/>
              <w:left w:val="nil"/>
              <w:bottom w:val="single" w:sz="4" w:space="0" w:color="auto"/>
              <w:right w:val="single" w:sz="4" w:space="0" w:color="auto"/>
            </w:tcBorders>
            <w:shd w:val="clear" w:color="auto" w:fill="auto"/>
            <w:noWrap/>
            <w:vAlign w:val="bottom"/>
            <w:hideMark/>
          </w:tcPr>
          <w:p w14:paraId="16B61408"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66 420</w:t>
            </w:r>
          </w:p>
        </w:tc>
        <w:tc>
          <w:tcPr>
            <w:tcW w:w="332" w:type="pct"/>
            <w:tcBorders>
              <w:top w:val="nil"/>
              <w:left w:val="nil"/>
              <w:bottom w:val="single" w:sz="4" w:space="0" w:color="auto"/>
              <w:right w:val="single" w:sz="4" w:space="0" w:color="auto"/>
            </w:tcBorders>
            <w:shd w:val="clear" w:color="auto" w:fill="auto"/>
            <w:noWrap/>
            <w:vAlign w:val="bottom"/>
            <w:hideMark/>
          </w:tcPr>
          <w:p w14:paraId="622B25CF"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66 209</w:t>
            </w:r>
          </w:p>
        </w:tc>
        <w:tc>
          <w:tcPr>
            <w:tcW w:w="332" w:type="pct"/>
            <w:tcBorders>
              <w:top w:val="nil"/>
              <w:left w:val="nil"/>
              <w:bottom w:val="single" w:sz="4" w:space="0" w:color="auto"/>
              <w:right w:val="single" w:sz="4" w:space="0" w:color="auto"/>
            </w:tcBorders>
            <w:shd w:val="clear" w:color="auto" w:fill="auto"/>
            <w:noWrap/>
            <w:vAlign w:val="bottom"/>
            <w:hideMark/>
          </w:tcPr>
          <w:p w14:paraId="2C566B2A"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63 947</w:t>
            </w:r>
          </w:p>
        </w:tc>
        <w:tc>
          <w:tcPr>
            <w:tcW w:w="427" w:type="pct"/>
            <w:tcBorders>
              <w:top w:val="nil"/>
              <w:left w:val="nil"/>
              <w:bottom w:val="single" w:sz="4" w:space="0" w:color="auto"/>
              <w:right w:val="single" w:sz="4" w:space="0" w:color="auto"/>
            </w:tcBorders>
            <w:shd w:val="clear" w:color="auto" w:fill="auto"/>
            <w:noWrap/>
            <w:vAlign w:val="bottom"/>
            <w:hideMark/>
          </w:tcPr>
          <w:p w14:paraId="0A59F27E"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64 675</w:t>
            </w:r>
          </w:p>
        </w:tc>
        <w:tc>
          <w:tcPr>
            <w:tcW w:w="380" w:type="pct"/>
            <w:tcBorders>
              <w:top w:val="nil"/>
              <w:left w:val="nil"/>
              <w:bottom w:val="single" w:sz="4" w:space="0" w:color="auto"/>
              <w:right w:val="single" w:sz="4" w:space="0" w:color="auto"/>
            </w:tcBorders>
            <w:shd w:val="clear" w:color="auto" w:fill="auto"/>
            <w:noWrap/>
            <w:vAlign w:val="bottom"/>
            <w:hideMark/>
          </w:tcPr>
          <w:p w14:paraId="37B88325"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62 934</w:t>
            </w:r>
          </w:p>
        </w:tc>
        <w:tc>
          <w:tcPr>
            <w:tcW w:w="427" w:type="pct"/>
            <w:tcBorders>
              <w:top w:val="nil"/>
              <w:left w:val="nil"/>
              <w:bottom w:val="single" w:sz="4" w:space="0" w:color="auto"/>
              <w:right w:val="single" w:sz="4" w:space="0" w:color="auto"/>
            </w:tcBorders>
            <w:shd w:val="clear" w:color="auto" w:fill="auto"/>
            <w:noWrap/>
            <w:vAlign w:val="bottom"/>
            <w:hideMark/>
          </w:tcPr>
          <w:p w14:paraId="3C8C0533"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67 577</w:t>
            </w:r>
          </w:p>
        </w:tc>
        <w:tc>
          <w:tcPr>
            <w:tcW w:w="332" w:type="pct"/>
            <w:tcBorders>
              <w:top w:val="nil"/>
              <w:left w:val="nil"/>
              <w:bottom w:val="single" w:sz="4" w:space="0" w:color="auto"/>
              <w:right w:val="single" w:sz="4" w:space="0" w:color="auto"/>
            </w:tcBorders>
            <w:shd w:val="clear" w:color="auto" w:fill="auto"/>
            <w:noWrap/>
            <w:vAlign w:val="bottom"/>
            <w:hideMark/>
          </w:tcPr>
          <w:p w14:paraId="62B03870"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63 863</w:t>
            </w:r>
          </w:p>
        </w:tc>
        <w:tc>
          <w:tcPr>
            <w:tcW w:w="145" w:type="pct"/>
            <w:tcBorders>
              <w:top w:val="nil"/>
              <w:left w:val="nil"/>
              <w:bottom w:val="single" w:sz="4" w:space="0" w:color="auto"/>
              <w:right w:val="single" w:sz="4" w:space="0" w:color="auto"/>
            </w:tcBorders>
          </w:tcPr>
          <w:p w14:paraId="1D720265"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64 335</w:t>
            </w:r>
          </w:p>
        </w:tc>
        <w:tc>
          <w:tcPr>
            <w:tcW w:w="666" w:type="pct"/>
            <w:tcBorders>
              <w:top w:val="nil"/>
              <w:left w:val="single" w:sz="4" w:space="0" w:color="auto"/>
              <w:bottom w:val="single" w:sz="4" w:space="0" w:color="auto"/>
              <w:right w:val="single" w:sz="12" w:space="0" w:color="auto"/>
            </w:tcBorders>
            <w:shd w:val="clear" w:color="auto" w:fill="auto"/>
            <w:noWrap/>
            <w:vAlign w:val="bottom"/>
          </w:tcPr>
          <w:p w14:paraId="39D2B123"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100,7</w:t>
            </w:r>
          </w:p>
        </w:tc>
      </w:tr>
      <w:tr w:rsidR="00AA3A5F" w:rsidRPr="005F142E" w14:paraId="5DAACDD5" w14:textId="77777777" w:rsidTr="007A68D5">
        <w:trPr>
          <w:trHeight w:val="300"/>
        </w:trPr>
        <w:tc>
          <w:tcPr>
            <w:tcW w:w="962" w:type="pct"/>
            <w:tcBorders>
              <w:top w:val="nil"/>
              <w:left w:val="single" w:sz="12" w:space="0" w:color="auto"/>
              <w:bottom w:val="single" w:sz="4" w:space="0" w:color="auto"/>
              <w:right w:val="single" w:sz="8" w:space="0" w:color="auto"/>
            </w:tcBorders>
            <w:shd w:val="clear" w:color="auto" w:fill="auto"/>
            <w:noWrap/>
            <w:vAlign w:val="bottom"/>
            <w:hideMark/>
          </w:tcPr>
          <w:p w14:paraId="20B27D88" w14:textId="77777777" w:rsidR="00AA3A5F" w:rsidRPr="005F142E" w:rsidRDefault="00AA3A5F" w:rsidP="007A68D5">
            <w:pPr>
              <w:jc w:val="left"/>
              <w:rPr>
                <w:rFonts w:cs="Times New Roman"/>
                <w:b/>
                <w:bCs/>
                <w:color w:val="000000"/>
                <w:sz w:val="20"/>
                <w:szCs w:val="20"/>
                <w:lang w:val="cs-CZ"/>
              </w:rPr>
            </w:pPr>
            <w:r w:rsidRPr="005F142E">
              <w:rPr>
                <w:rFonts w:cs="Times New Roman"/>
                <w:b/>
                <w:bCs/>
                <w:color w:val="000000"/>
                <w:sz w:val="20"/>
                <w:szCs w:val="20"/>
                <w:lang w:val="cs-CZ"/>
              </w:rPr>
              <w:t>Možnost čerpání</w:t>
            </w:r>
          </w:p>
        </w:tc>
        <w:tc>
          <w:tcPr>
            <w:tcW w:w="333" w:type="pct"/>
            <w:tcBorders>
              <w:top w:val="nil"/>
              <w:left w:val="nil"/>
              <w:bottom w:val="single" w:sz="4" w:space="0" w:color="auto"/>
              <w:right w:val="single" w:sz="4" w:space="0" w:color="auto"/>
            </w:tcBorders>
            <w:shd w:val="clear" w:color="auto" w:fill="auto"/>
            <w:noWrap/>
            <w:vAlign w:val="bottom"/>
            <w:hideMark/>
          </w:tcPr>
          <w:p w14:paraId="7A867DA7"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56 389</w:t>
            </w:r>
          </w:p>
        </w:tc>
        <w:tc>
          <w:tcPr>
            <w:tcW w:w="332" w:type="pct"/>
            <w:tcBorders>
              <w:top w:val="nil"/>
              <w:left w:val="nil"/>
              <w:bottom w:val="single" w:sz="4" w:space="0" w:color="auto"/>
              <w:right w:val="single" w:sz="4" w:space="0" w:color="auto"/>
            </w:tcBorders>
            <w:shd w:val="clear" w:color="auto" w:fill="auto"/>
            <w:noWrap/>
            <w:vAlign w:val="bottom"/>
            <w:hideMark/>
          </w:tcPr>
          <w:p w14:paraId="148F792A"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62 653</w:t>
            </w:r>
          </w:p>
        </w:tc>
        <w:tc>
          <w:tcPr>
            <w:tcW w:w="332" w:type="pct"/>
            <w:tcBorders>
              <w:top w:val="nil"/>
              <w:left w:val="nil"/>
              <w:bottom w:val="single" w:sz="4" w:space="0" w:color="auto"/>
              <w:right w:val="single" w:sz="4" w:space="0" w:color="auto"/>
            </w:tcBorders>
            <w:shd w:val="clear" w:color="auto" w:fill="auto"/>
            <w:noWrap/>
            <w:vAlign w:val="bottom"/>
            <w:hideMark/>
          </w:tcPr>
          <w:p w14:paraId="5F27FFB8"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66 421</w:t>
            </w:r>
          </w:p>
        </w:tc>
        <w:tc>
          <w:tcPr>
            <w:tcW w:w="332" w:type="pct"/>
            <w:tcBorders>
              <w:top w:val="nil"/>
              <w:left w:val="nil"/>
              <w:bottom w:val="single" w:sz="4" w:space="0" w:color="auto"/>
              <w:right w:val="single" w:sz="4" w:space="0" w:color="auto"/>
            </w:tcBorders>
            <w:shd w:val="clear" w:color="auto" w:fill="auto"/>
            <w:noWrap/>
            <w:vAlign w:val="bottom"/>
            <w:hideMark/>
          </w:tcPr>
          <w:p w14:paraId="1C8A3047"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66 212</w:t>
            </w:r>
          </w:p>
        </w:tc>
        <w:tc>
          <w:tcPr>
            <w:tcW w:w="332" w:type="pct"/>
            <w:tcBorders>
              <w:top w:val="nil"/>
              <w:left w:val="nil"/>
              <w:bottom w:val="single" w:sz="4" w:space="0" w:color="auto"/>
              <w:right w:val="single" w:sz="4" w:space="0" w:color="auto"/>
            </w:tcBorders>
            <w:shd w:val="clear" w:color="auto" w:fill="auto"/>
            <w:noWrap/>
            <w:vAlign w:val="bottom"/>
            <w:hideMark/>
          </w:tcPr>
          <w:p w14:paraId="7C6AE5FC"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63 947</w:t>
            </w:r>
          </w:p>
        </w:tc>
        <w:tc>
          <w:tcPr>
            <w:tcW w:w="427" w:type="pct"/>
            <w:tcBorders>
              <w:top w:val="nil"/>
              <w:left w:val="nil"/>
              <w:bottom w:val="single" w:sz="4" w:space="0" w:color="auto"/>
              <w:right w:val="single" w:sz="4" w:space="0" w:color="auto"/>
            </w:tcBorders>
            <w:shd w:val="clear" w:color="auto" w:fill="auto"/>
            <w:noWrap/>
            <w:vAlign w:val="bottom"/>
            <w:hideMark/>
          </w:tcPr>
          <w:p w14:paraId="2C05FEB7"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64 677</w:t>
            </w:r>
          </w:p>
        </w:tc>
        <w:tc>
          <w:tcPr>
            <w:tcW w:w="380" w:type="pct"/>
            <w:tcBorders>
              <w:top w:val="nil"/>
              <w:left w:val="nil"/>
              <w:bottom w:val="single" w:sz="4" w:space="0" w:color="auto"/>
              <w:right w:val="single" w:sz="4" w:space="0" w:color="auto"/>
            </w:tcBorders>
            <w:shd w:val="clear" w:color="auto" w:fill="auto"/>
            <w:noWrap/>
            <w:vAlign w:val="bottom"/>
            <w:hideMark/>
          </w:tcPr>
          <w:p w14:paraId="7D098A38"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62 939</w:t>
            </w:r>
          </w:p>
        </w:tc>
        <w:tc>
          <w:tcPr>
            <w:tcW w:w="427" w:type="pct"/>
            <w:tcBorders>
              <w:top w:val="nil"/>
              <w:left w:val="nil"/>
              <w:bottom w:val="single" w:sz="4" w:space="0" w:color="auto"/>
              <w:right w:val="single" w:sz="4" w:space="0" w:color="auto"/>
            </w:tcBorders>
            <w:shd w:val="clear" w:color="auto" w:fill="auto"/>
            <w:noWrap/>
            <w:vAlign w:val="bottom"/>
            <w:hideMark/>
          </w:tcPr>
          <w:p w14:paraId="72087B14"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67 580</w:t>
            </w:r>
          </w:p>
        </w:tc>
        <w:tc>
          <w:tcPr>
            <w:tcW w:w="332" w:type="pct"/>
            <w:tcBorders>
              <w:top w:val="nil"/>
              <w:left w:val="nil"/>
              <w:bottom w:val="single" w:sz="4" w:space="0" w:color="auto"/>
              <w:right w:val="single" w:sz="4" w:space="0" w:color="auto"/>
            </w:tcBorders>
            <w:shd w:val="clear" w:color="auto" w:fill="auto"/>
            <w:noWrap/>
            <w:vAlign w:val="bottom"/>
            <w:hideMark/>
          </w:tcPr>
          <w:p w14:paraId="4A66AE78"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63 863</w:t>
            </w:r>
          </w:p>
        </w:tc>
        <w:tc>
          <w:tcPr>
            <w:tcW w:w="145" w:type="pct"/>
            <w:tcBorders>
              <w:top w:val="nil"/>
              <w:left w:val="nil"/>
              <w:bottom w:val="single" w:sz="4" w:space="0" w:color="auto"/>
              <w:right w:val="single" w:sz="4" w:space="0" w:color="auto"/>
            </w:tcBorders>
          </w:tcPr>
          <w:p w14:paraId="60400357"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64 336</w:t>
            </w:r>
          </w:p>
        </w:tc>
        <w:tc>
          <w:tcPr>
            <w:tcW w:w="666" w:type="pct"/>
            <w:tcBorders>
              <w:top w:val="nil"/>
              <w:left w:val="single" w:sz="4" w:space="0" w:color="auto"/>
              <w:bottom w:val="single" w:sz="4" w:space="0" w:color="auto"/>
              <w:right w:val="single" w:sz="12" w:space="0" w:color="auto"/>
            </w:tcBorders>
            <w:shd w:val="clear" w:color="auto" w:fill="auto"/>
            <w:noWrap/>
            <w:vAlign w:val="bottom"/>
          </w:tcPr>
          <w:p w14:paraId="12CD00F7"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100,7</w:t>
            </w:r>
          </w:p>
        </w:tc>
      </w:tr>
      <w:tr w:rsidR="00AA3A5F" w:rsidRPr="005F142E" w14:paraId="083DF243" w14:textId="77777777" w:rsidTr="007A68D5">
        <w:trPr>
          <w:trHeight w:val="315"/>
        </w:trPr>
        <w:tc>
          <w:tcPr>
            <w:tcW w:w="962" w:type="pct"/>
            <w:tcBorders>
              <w:top w:val="nil"/>
              <w:left w:val="single" w:sz="12" w:space="0" w:color="auto"/>
              <w:bottom w:val="single" w:sz="12" w:space="0" w:color="auto"/>
              <w:right w:val="single" w:sz="8" w:space="0" w:color="auto"/>
            </w:tcBorders>
            <w:shd w:val="clear" w:color="auto" w:fill="auto"/>
            <w:noWrap/>
            <w:vAlign w:val="bottom"/>
            <w:hideMark/>
          </w:tcPr>
          <w:p w14:paraId="7CA756DE" w14:textId="77777777" w:rsidR="00AA3A5F" w:rsidRPr="005F142E" w:rsidRDefault="00AA3A5F" w:rsidP="007A68D5">
            <w:pPr>
              <w:jc w:val="left"/>
              <w:rPr>
                <w:rFonts w:cs="Times New Roman"/>
                <w:b/>
                <w:bCs/>
                <w:color w:val="000000"/>
                <w:sz w:val="20"/>
                <w:szCs w:val="20"/>
                <w:lang w:val="cs-CZ"/>
              </w:rPr>
            </w:pPr>
            <w:r w:rsidRPr="005F142E">
              <w:rPr>
                <w:rFonts w:cs="Times New Roman"/>
                <w:b/>
                <w:bCs/>
                <w:color w:val="000000"/>
                <w:sz w:val="20"/>
                <w:szCs w:val="20"/>
                <w:lang w:val="cs-CZ"/>
              </w:rPr>
              <w:t>Čerpání v %</w:t>
            </w:r>
          </w:p>
        </w:tc>
        <w:tc>
          <w:tcPr>
            <w:tcW w:w="333" w:type="pct"/>
            <w:tcBorders>
              <w:top w:val="nil"/>
              <w:left w:val="nil"/>
              <w:bottom w:val="single" w:sz="12" w:space="0" w:color="auto"/>
              <w:right w:val="single" w:sz="4" w:space="0" w:color="auto"/>
            </w:tcBorders>
            <w:shd w:val="clear" w:color="auto" w:fill="auto"/>
            <w:noWrap/>
            <w:vAlign w:val="bottom"/>
            <w:hideMark/>
          </w:tcPr>
          <w:p w14:paraId="3ABC7178"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100,0</w:t>
            </w:r>
          </w:p>
        </w:tc>
        <w:tc>
          <w:tcPr>
            <w:tcW w:w="332" w:type="pct"/>
            <w:tcBorders>
              <w:top w:val="nil"/>
              <w:left w:val="nil"/>
              <w:bottom w:val="single" w:sz="12" w:space="0" w:color="auto"/>
              <w:right w:val="single" w:sz="4" w:space="0" w:color="auto"/>
            </w:tcBorders>
            <w:shd w:val="clear" w:color="auto" w:fill="auto"/>
            <w:noWrap/>
            <w:vAlign w:val="bottom"/>
            <w:hideMark/>
          </w:tcPr>
          <w:p w14:paraId="6A59D4F2"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97,7</w:t>
            </w:r>
          </w:p>
        </w:tc>
        <w:tc>
          <w:tcPr>
            <w:tcW w:w="332" w:type="pct"/>
            <w:tcBorders>
              <w:top w:val="nil"/>
              <w:left w:val="nil"/>
              <w:bottom w:val="single" w:sz="12" w:space="0" w:color="auto"/>
              <w:right w:val="single" w:sz="4" w:space="0" w:color="auto"/>
            </w:tcBorders>
            <w:shd w:val="clear" w:color="auto" w:fill="auto"/>
            <w:noWrap/>
            <w:vAlign w:val="bottom"/>
            <w:hideMark/>
          </w:tcPr>
          <w:p w14:paraId="134B2547"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100,0</w:t>
            </w:r>
          </w:p>
        </w:tc>
        <w:tc>
          <w:tcPr>
            <w:tcW w:w="332" w:type="pct"/>
            <w:tcBorders>
              <w:top w:val="nil"/>
              <w:left w:val="nil"/>
              <w:bottom w:val="single" w:sz="12" w:space="0" w:color="auto"/>
              <w:right w:val="single" w:sz="4" w:space="0" w:color="auto"/>
            </w:tcBorders>
            <w:shd w:val="clear" w:color="auto" w:fill="auto"/>
            <w:noWrap/>
            <w:vAlign w:val="bottom"/>
            <w:hideMark/>
          </w:tcPr>
          <w:p w14:paraId="44E1D4B5"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100,0</w:t>
            </w:r>
          </w:p>
        </w:tc>
        <w:tc>
          <w:tcPr>
            <w:tcW w:w="332" w:type="pct"/>
            <w:tcBorders>
              <w:top w:val="nil"/>
              <w:left w:val="nil"/>
              <w:bottom w:val="single" w:sz="12" w:space="0" w:color="auto"/>
              <w:right w:val="single" w:sz="4" w:space="0" w:color="auto"/>
            </w:tcBorders>
            <w:shd w:val="clear" w:color="auto" w:fill="auto"/>
            <w:noWrap/>
            <w:vAlign w:val="bottom"/>
            <w:hideMark/>
          </w:tcPr>
          <w:p w14:paraId="26A9FB46"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100,0</w:t>
            </w:r>
          </w:p>
        </w:tc>
        <w:tc>
          <w:tcPr>
            <w:tcW w:w="427" w:type="pct"/>
            <w:tcBorders>
              <w:top w:val="nil"/>
              <w:left w:val="nil"/>
              <w:bottom w:val="single" w:sz="12" w:space="0" w:color="auto"/>
              <w:right w:val="single" w:sz="4" w:space="0" w:color="auto"/>
            </w:tcBorders>
            <w:shd w:val="clear" w:color="auto" w:fill="auto"/>
            <w:noWrap/>
            <w:vAlign w:val="bottom"/>
            <w:hideMark/>
          </w:tcPr>
          <w:p w14:paraId="621965E6"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100,0</w:t>
            </w:r>
          </w:p>
        </w:tc>
        <w:tc>
          <w:tcPr>
            <w:tcW w:w="380" w:type="pct"/>
            <w:tcBorders>
              <w:top w:val="nil"/>
              <w:left w:val="nil"/>
              <w:bottom w:val="single" w:sz="12" w:space="0" w:color="auto"/>
              <w:right w:val="single" w:sz="4" w:space="0" w:color="auto"/>
            </w:tcBorders>
            <w:shd w:val="clear" w:color="auto" w:fill="auto"/>
            <w:noWrap/>
            <w:vAlign w:val="bottom"/>
            <w:hideMark/>
          </w:tcPr>
          <w:p w14:paraId="03670E9C"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100,0</w:t>
            </w:r>
          </w:p>
        </w:tc>
        <w:tc>
          <w:tcPr>
            <w:tcW w:w="427" w:type="pct"/>
            <w:tcBorders>
              <w:top w:val="nil"/>
              <w:left w:val="nil"/>
              <w:bottom w:val="single" w:sz="12" w:space="0" w:color="auto"/>
              <w:right w:val="single" w:sz="4" w:space="0" w:color="auto"/>
            </w:tcBorders>
            <w:shd w:val="clear" w:color="auto" w:fill="auto"/>
            <w:noWrap/>
            <w:vAlign w:val="bottom"/>
            <w:hideMark/>
          </w:tcPr>
          <w:p w14:paraId="23A83949"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100,0</w:t>
            </w:r>
          </w:p>
        </w:tc>
        <w:tc>
          <w:tcPr>
            <w:tcW w:w="332" w:type="pct"/>
            <w:tcBorders>
              <w:top w:val="nil"/>
              <w:left w:val="nil"/>
              <w:bottom w:val="single" w:sz="12" w:space="0" w:color="auto"/>
              <w:right w:val="single" w:sz="4" w:space="0" w:color="auto"/>
            </w:tcBorders>
            <w:shd w:val="clear" w:color="auto" w:fill="auto"/>
            <w:noWrap/>
            <w:vAlign w:val="bottom"/>
            <w:hideMark/>
          </w:tcPr>
          <w:p w14:paraId="07AA6B5B"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100,0</w:t>
            </w:r>
          </w:p>
        </w:tc>
        <w:tc>
          <w:tcPr>
            <w:tcW w:w="145" w:type="pct"/>
            <w:tcBorders>
              <w:top w:val="nil"/>
              <w:left w:val="nil"/>
              <w:bottom w:val="single" w:sz="12" w:space="0" w:color="auto"/>
              <w:right w:val="single" w:sz="4" w:space="0" w:color="auto"/>
            </w:tcBorders>
          </w:tcPr>
          <w:p w14:paraId="2FE540A0"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100</w:t>
            </w:r>
          </w:p>
        </w:tc>
        <w:tc>
          <w:tcPr>
            <w:tcW w:w="666" w:type="pct"/>
            <w:tcBorders>
              <w:top w:val="nil"/>
              <w:left w:val="single" w:sz="4" w:space="0" w:color="auto"/>
              <w:bottom w:val="single" w:sz="12" w:space="0" w:color="auto"/>
              <w:right w:val="single" w:sz="12" w:space="0" w:color="auto"/>
            </w:tcBorders>
            <w:shd w:val="clear" w:color="auto" w:fill="auto"/>
            <w:noWrap/>
            <w:vAlign w:val="bottom"/>
            <w:hideMark/>
          </w:tcPr>
          <w:p w14:paraId="08ED074E" w14:textId="77777777" w:rsidR="00AA3A5F" w:rsidRPr="005F142E" w:rsidRDefault="00AA3A5F" w:rsidP="007A68D5">
            <w:pPr>
              <w:jc w:val="right"/>
              <w:rPr>
                <w:rFonts w:cs="Times New Roman"/>
                <w:color w:val="000000"/>
                <w:sz w:val="20"/>
                <w:szCs w:val="20"/>
                <w:lang w:val="cs-CZ"/>
              </w:rPr>
            </w:pPr>
            <w:r w:rsidRPr="005F142E">
              <w:rPr>
                <w:rFonts w:cs="Times New Roman"/>
                <w:color w:val="000000"/>
                <w:sz w:val="20"/>
                <w:szCs w:val="20"/>
                <w:lang w:val="cs-CZ"/>
              </w:rPr>
              <w:t>x</w:t>
            </w:r>
          </w:p>
        </w:tc>
      </w:tr>
    </w:tbl>
    <w:p w14:paraId="4B83AD49" w14:textId="77777777" w:rsidR="00AA3A5F" w:rsidRPr="005F142E" w:rsidRDefault="00AA3A5F" w:rsidP="00E90C27">
      <w:pPr>
        <w:pStyle w:val="UZEIZdroj"/>
      </w:pPr>
      <w:r w:rsidRPr="005F142E">
        <w:t>Pramen: SZIF</w:t>
      </w:r>
    </w:p>
    <w:p w14:paraId="159BA529" w14:textId="77777777" w:rsidR="00AA3A5F" w:rsidRPr="00B25A22" w:rsidRDefault="00AA3A5F" w:rsidP="00E90C27">
      <w:pPr>
        <w:pStyle w:val="UZEINormaln"/>
      </w:pPr>
      <w:r w:rsidRPr="00B25A22">
        <w:t xml:space="preserve">Pro rok 2020 byla ČR určena pro tříletý Český včelařský program finanční částka v rámci dotace na opatření ke zlepšení obecných podmínek pro produkci včelařských produktů a jejich uvádění na trh v souladu s prováděcím rozhodnutím </w:t>
      </w:r>
      <w:r w:rsidRPr="00E90C27">
        <w:t>Evropské komise ve výši 64 ,3 mil. Kč.</w:t>
      </w:r>
      <w:r w:rsidRPr="00E90C27">
        <w:rPr>
          <w:i/>
          <w:vertAlign w:val="superscript"/>
        </w:rPr>
        <w:footnoteReference w:id="35"/>
      </w:r>
      <w:r w:rsidRPr="00E90C27">
        <w:rPr>
          <w:vertAlign w:val="superscript"/>
        </w:rPr>
        <w:t xml:space="preserve">. </w:t>
      </w:r>
      <w:r w:rsidRPr="00E90C27">
        <w:t>Objem přidělených finančních prostředků se v porovnání s rokem 2019 nepatrně zvýšil (o 5,4 tis. Kč). Přidělená suma pak byla čerpána českými včelaři v plné výši, z toho největší podíl (50,0 %) připadl na boj proti varroáze a dále na technickou pomoc (podíl 38,9 %)</w:t>
      </w:r>
      <w:r w:rsidRPr="00E90C27">
        <w:rPr>
          <w:i/>
          <w:vertAlign w:val="superscript"/>
        </w:rPr>
        <w:footnoteReference w:id="36"/>
      </w:r>
      <w:r w:rsidRPr="00E90C27">
        <w:t>.</w:t>
      </w:r>
      <w:r w:rsidRPr="00E90C27">
        <w:rPr>
          <w:vertAlign w:val="superscript"/>
        </w:rPr>
        <w:t>.</w:t>
      </w:r>
      <w:r w:rsidRPr="00E90C27">
        <w:t xml:space="preserve"> Pro rok 2021 je celková výše finančních prostředků, kterou je možno na včelařská opatření hrazená z 50 % z</w:t>
      </w:r>
      <w:r w:rsidRPr="00B25A22">
        <w:t xml:space="preserve"> rozpočtu ČR a z 50 % z rozpočtu EU využít, tak opět činí 64 341 593 Kč.</w:t>
      </w:r>
    </w:p>
    <w:p w14:paraId="1DD2D144" w14:textId="4D4EF8A7" w:rsidR="00AA3A5F" w:rsidRPr="00E90C27" w:rsidRDefault="00AA3A5F" w:rsidP="00E90C27">
      <w:pPr>
        <w:pStyle w:val="UZEINormaln"/>
      </w:pPr>
      <w:r w:rsidRPr="00B25A22">
        <w:t>Včelařství je ČR rovněž podporováno také prostřednictvím státní dotační politiky směrem k nestátním neziskovým organizacím. Včelařským spolkům jsou poskytovány finanční prostředky podle „Zásad vlády pro poskytování dotací ze státního rozpočtu ČR nestátním neziskovým organizacím ústředními organizacemi státní správy“, a to na základě předloženého projektu, který je v rámci výběrového řízení posuzován.</w:t>
      </w:r>
    </w:p>
    <w:p w14:paraId="3BB2E1AA" w14:textId="77777777" w:rsidR="00AA3A5F" w:rsidRPr="00E90C27" w:rsidRDefault="00AA3A5F" w:rsidP="00AA3A5F">
      <w:pPr>
        <w:pStyle w:val="mezera"/>
        <w:rPr>
          <w:rFonts w:cs="Times New Roman"/>
          <w:b/>
          <w:sz w:val="20"/>
          <w:szCs w:val="20"/>
        </w:rPr>
      </w:pPr>
      <w:r w:rsidRPr="00E90C27">
        <w:rPr>
          <w:rFonts w:cs="Times New Roman"/>
          <w:b/>
          <w:sz w:val="20"/>
          <w:szCs w:val="20"/>
        </w:rPr>
        <w:t>Tab. P 3.2: Stavy včelstev, produkce a výnos medu v ČR</w:t>
      </w:r>
    </w:p>
    <w:tbl>
      <w:tblPr>
        <w:tblW w:w="5000" w:type="pct"/>
        <w:tblCellMar>
          <w:left w:w="70" w:type="dxa"/>
          <w:right w:w="70" w:type="dxa"/>
        </w:tblCellMar>
        <w:tblLook w:val="04A0" w:firstRow="1" w:lastRow="0" w:firstColumn="1" w:lastColumn="0" w:noHBand="0" w:noVBand="1"/>
      </w:tblPr>
      <w:tblGrid>
        <w:gridCol w:w="2102"/>
        <w:gridCol w:w="554"/>
        <w:gridCol w:w="615"/>
        <w:gridCol w:w="615"/>
        <w:gridCol w:w="615"/>
        <w:gridCol w:w="615"/>
        <w:gridCol w:w="615"/>
        <w:gridCol w:w="615"/>
        <w:gridCol w:w="469"/>
        <w:gridCol w:w="469"/>
        <w:gridCol w:w="469"/>
        <w:gridCol w:w="469"/>
        <w:gridCol w:w="774"/>
      </w:tblGrid>
      <w:tr w:rsidR="00AA3A5F" w:rsidRPr="00E90C27" w14:paraId="6B96E580" w14:textId="77777777" w:rsidTr="001E7821">
        <w:trPr>
          <w:trHeight w:val="510"/>
        </w:trPr>
        <w:tc>
          <w:tcPr>
            <w:tcW w:w="937" w:type="pct"/>
            <w:tcBorders>
              <w:top w:val="single" w:sz="12" w:space="0" w:color="auto"/>
              <w:left w:val="single" w:sz="12" w:space="0" w:color="auto"/>
              <w:bottom w:val="single" w:sz="8" w:space="0" w:color="auto"/>
              <w:right w:val="single" w:sz="4" w:space="0" w:color="auto"/>
            </w:tcBorders>
            <w:shd w:val="clear" w:color="auto" w:fill="auto"/>
            <w:noWrap/>
            <w:vAlign w:val="bottom"/>
            <w:hideMark/>
          </w:tcPr>
          <w:p w14:paraId="588806EE"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Ukazatel</w:t>
            </w:r>
          </w:p>
        </w:tc>
        <w:tc>
          <w:tcPr>
            <w:tcW w:w="539" w:type="pct"/>
            <w:tcBorders>
              <w:top w:val="single" w:sz="12" w:space="0" w:color="auto"/>
              <w:left w:val="nil"/>
              <w:bottom w:val="single" w:sz="8" w:space="0" w:color="auto"/>
              <w:right w:val="single" w:sz="8" w:space="0" w:color="auto"/>
            </w:tcBorders>
            <w:shd w:val="clear" w:color="auto" w:fill="auto"/>
            <w:noWrap/>
            <w:vAlign w:val="bottom"/>
            <w:hideMark/>
          </w:tcPr>
          <w:p w14:paraId="757EBFEF"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MJ</w:t>
            </w:r>
          </w:p>
        </w:tc>
        <w:tc>
          <w:tcPr>
            <w:tcW w:w="342" w:type="pct"/>
            <w:tcBorders>
              <w:top w:val="single" w:sz="12" w:space="0" w:color="auto"/>
              <w:left w:val="nil"/>
              <w:bottom w:val="single" w:sz="8" w:space="0" w:color="auto"/>
              <w:right w:val="single" w:sz="4" w:space="0" w:color="auto"/>
            </w:tcBorders>
            <w:shd w:val="clear" w:color="auto" w:fill="auto"/>
            <w:noWrap/>
            <w:vAlign w:val="bottom"/>
            <w:hideMark/>
          </w:tcPr>
          <w:p w14:paraId="1A962E1C"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2009</w:t>
            </w:r>
          </w:p>
        </w:tc>
        <w:tc>
          <w:tcPr>
            <w:tcW w:w="342" w:type="pct"/>
            <w:tcBorders>
              <w:top w:val="single" w:sz="12" w:space="0" w:color="auto"/>
              <w:left w:val="nil"/>
              <w:bottom w:val="single" w:sz="8" w:space="0" w:color="auto"/>
              <w:right w:val="single" w:sz="4" w:space="0" w:color="auto"/>
            </w:tcBorders>
            <w:shd w:val="clear" w:color="auto" w:fill="auto"/>
            <w:noWrap/>
            <w:vAlign w:val="bottom"/>
            <w:hideMark/>
          </w:tcPr>
          <w:p w14:paraId="0E73AC6F"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2010</w:t>
            </w:r>
          </w:p>
        </w:tc>
        <w:tc>
          <w:tcPr>
            <w:tcW w:w="342" w:type="pct"/>
            <w:tcBorders>
              <w:top w:val="single" w:sz="12" w:space="0" w:color="auto"/>
              <w:left w:val="nil"/>
              <w:bottom w:val="single" w:sz="8" w:space="0" w:color="auto"/>
              <w:right w:val="single" w:sz="4" w:space="0" w:color="auto"/>
            </w:tcBorders>
            <w:shd w:val="clear" w:color="auto" w:fill="auto"/>
            <w:noWrap/>
            <w:vAlign w:val="bottom"/>
            <w:hideMark/>
          </w:tcPr>
          <w:p w14:paraId="06AAE403"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2011</w:t>
            </w:r>
          </w:p>
        </w:tc>
        <w:tc>
          <w:tcPr>
            <w:tcW w:w="342" w:type="pct"/>
            <w:tcBorders>
              <w:top w:val="single" w:sz="12" w:space="0" w:color="auto"/>
              <w:left w:val="nil"/>
              <w:bottom w:val="single" w:sz="8" w:space="0" w:color="auto"/>
              <w:right w:val="single" w:sz="4" w:space="0" w:color="auto"/>
            </w:tcBorders>
            <w:shd w:val="clear" w:color="auto" w:fill="auto"/>
            <w:noWrap/>
            <w:vAlign w:val="bottom"/>
            <w:hideMark/>
          </w:tcPr>
          <w:p w14:paraId="64F9F7B7"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2012</w:t>
            </w:r>
          </w:p>
        </w:tc>
        <w:tc>
          <w:tcPr>
            <w:tcW w:w="342" w:type="pct"/>
            <w:tcBorders>
              <w:top w:val="single" w:sz="12" w:space="0" w:color="auto"/>
              <w:left w:val="nil"/>
              <w:bottom w:val="single" w:sz="8" w:space="0" w:color="auto"/>
              <w:right w:val="single" w:sz="4" w:space="0" w:color="auto"/>
            </w:tcBorders>
            <w:shd w:val="clear" w:color="auto" w:fill="auto"/>
            <w:noWrap/>
            <w:vAlign w:val="bottom"/>
            <w:hideMark/>
          </w:tcPr>
          <w:p w14:paraId="64A12343"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2013</w:t>
            </w:r>
          </w:p>
        </w:tc>
        <w:tc>
          <w:tcPr>
            <w:tcW w:w="342" w:type="pct"/>
            <w:tcBorders>
              <w:top w:val="single" w:sz="12" w:space="0" w:color="auto"/>
              <w:left w:val="nil"/>
              <w:bottom w:val="single" w:sz="8" w:space="0" w:color="auto"/>
              <w:right w:val="single" w:sz="4" w:space="0" w:color="auto"/>
            </w:tcBorders>
            <w:shd w:val="clear" w:color="auto" w:fill="auto"/>
            <w:noWrap/>
            <w:vAlign w:val="bottom"/>
            <w:hideMark/>
          </w:tcPr>
          <w:p w14:paraId="14D29DE1"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2014</w:t>
            </w:r>
          </w:p>
        </w:tc>
        <w:tc>
          <w:tcPr>
            <w:tcW w:w="261" w:type="pct"/>
            <w:tcBorders>
              <w:top w:val="single" w:sz="12" w:space="0" w:color="auto"/>
              <w:left w:val="nil"/>
              <w:bottom w:val="single" w:sz="8" w:space="0" w:color="auto"/>
              <w:right w:val="single" w:sz="4" w:space="0" w:color="auto"/>
            </w:tcBorders>
          </w:tcPr>
          <w:p w14:paraId="6EFF80B9"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2015</w:t>
            </w:r>
          </w:p>
        </w:tc>
        <w:tc>
          <w:tcPr>
            <w:tcW w:w="261" w:type="pct"/>
            <w:tcBorders>
              <w:top w:val="single" w:sz="12" w:space="0" w:color="auto"/>
              <w:left w:val="single" w:sz="4" w:space="0" w:color="auto"/>
              <w:bottom w:val="single" w:sz="8" w:space="0" w:color="auto"/>
              <w:right w:val="single" w:sz="4" w:space="0" w:color="auto"/>
            </w:tcBorders>
          </w:tcPr>
          <w:p w14:paraId="5AFA3E0E"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2016</w:t>
            </w:r>
          </w:p>
        </w:tc>
        <w:tc>
          <w:tcPr>
            <w:tcW w:w="261" w:type="pct"/>
            <w:tcBorders>
              <w:top w:val="single" w:sz="12" w:space="0" w:color="auto"/>
              <w:left w:val="single" w:sz="4" w:space="0" w:color="auto"/>
              <w:bottom w:val="single" w:sz="8" w:space="0" w:color="auto"/>
              <w:right w:val="single" w:sz="4" w:space="0" w:color="auto"/>
            </w:tcBorders>
          </w:tcPr>
          <w:p w14:paraId="4D2B7ADF"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2017</w:t>
            </w:r>
          </w:p>
        </w:tc>
        <w:tc>
          <w:tcPr>
            <w:tcW w:w="261" w:type="pct"/>
            <w:tcBorders>
              <w:top w:val="single" w:sz="12" w:space="0" w:color="auto"/>
              <w:left w:val="single" w:sz="4" w:space="0" w:color="auto"/>
              <w:bottom w:val="single" w:sz="8" w:space="0" w:color="auto"/>
              <w:right w:val="single" w:sz="4" w:space="0" w:color="auto"/>
            </w:tcBorders>
          </w:tcPr>
          <w:p w14:paraId="1815AA69"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2018</w:t>
            </w:r>
          </w:p>
        </w:tc>
        <w:tc>
          <w:tcPr>
            <w:tcW w:w="430" w:type="pct"/>
            <w:tcBorders>
              <w:top w:val="single" w:sz="12" w:space="0" w:color="auto"/>
              <w:left w:val="single" w:sz="4" w:space="0" w:color="auto"/>
              <w:bottom w:val="single" w:sz="8" w:space="0" w:color="auto"/>
              <w:right w:val="single" w:sz="12" w:space="0" w:color="auto"/>
            </w:tcBorders>
            <w:shd w:val="clear" w:color="auto" w:fill="auto"/>
            <w:vAlign w:val="bottom"/>
            <w:hideMark/>
          </w:tcPr>
          <w:p w14:paraId="1237391E"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Meziroční index</w:t>
            </w:r>
          </w:p>
        </w:tc>
      </w:tr>
      <w:tr w:rsidR="00AA3A5F" w:rsidRPr="00E90C27" w14:paraId="53284C30" w14:textId="77777777" w:rsidTr="001E7821">
        <w:trPr>
          <w:trHeight w:val="300"/>
        </w:trPr>
        <w:tc>
          <w:tcPr>
            <w:tcW w:w="937" w:type="pct"/>
            <w:tcBorders>
              <w:top w:val="nil"/>
              <w:left w:val="single" w:sz="12" w:space="0" w:color="auto"/>
              <w:bottom w:val="single" w:sz="4" w:space="0" w:color="auto"/>
              <w:right w:val="single" w:sz="4" w:space="0" w:color="auto"/>
            </w:tcBorders>
            <w:shd w:val="clear" w:color="auto" w:fill="auto"/>
            <w:noWrap/>
            <w:vAlign w:val="bottom"/>
            <w:hideMark/>
          </w:tcPr>
          <w:p w14:paraId="16EF42C8" w14:textId="77777777" w:rsidR="00AA3A5F" w:rsidRPr="00E90C27" w:rsidRDefault="00AA3A5F" w:rsidP="007A68D5">
            <w:pPr>
              <w:jc w:val="left"/>
              <w:rPr>
                <w:rFonts w:cs="Times New Roman"/>
                <w:b/>
                <w:bCs/>
                <w:color w:val="000000"/>
                <w:sz w:val="20"/>
                <w:szCs w:val="20"/>
                <w:lang w:val="cs-CZ"/>
              </w:rPr>
            </w:pPr>
            <w:r w:rsidRPr="00E90C27">
              <w:rPr>
                <w:rFonts w:cs="Times New Roman"/>
                <w:b/>
                <w:bCs/>
                <w:color w:val="000000"/>
                <w:sz w:val="20"/>
                <w:szCs w:val="20"/>
                <w:lang w:val="cs-CZ"/>
              </w:rPr>
              <w:t>Počet včelstev celkem</w:t>
            </w:r>
          </w:p>
        </w:tc>
        <w:tc>
          <w:tcPr>
            <w:tcW w:w="539" w:type="pct"/>
            <w:tcBorders>
              <w:top w:val="nil"/>
              <w:left w:val="nil"/>
              <w:bottom w:val="single" w:sz="4" w:space="0" w:color="auto"/>
              <w:right w:val="single" w:sz="8" w:space="0" w:color="auto"/>
            </w:tcBorders>
            <w:shd w:val="clear" w:color="auto" w:fill="auto"/>
            <w:noWrap/>
            <w:vAlign w:val="bottom"/>
            <w:hideMark/>
          </w:tcPr>
          <w:p w14:paraId="73E1C00E"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ks</w:t>
            </w:r>
          </w:p>
        </w:tc>
        <w:tc>
          <w:tcPr>
            <w:tcW w:w="342" w:type="pct"/>
            <w:tcBorders>
              <w:top w:val="nil"/>
              <w:left w:val="nil"/>
              <w:bottom w:val="single" w:sz="4" w:space="0" w:color="auto"/>
              <w:right w:val="single" w:sz="4" w:space="0" w:color="auto"/>
            </w:tcBorders>
            <w:shd w:val="clear" w:color="auto" w:fill="auto"/>
            <w:noWrap/>
            <w:vAlign w:val="bottom"/>
            <w:hideMark/>
          </w:tcPr>
          <w:p w14:paraId="3691CB47"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497 946</w:t>
            </w:r>
          </w:p>
        </w:tc>
        <w:tc>
          <w:tcPr>
            <w:tcW w:w="342" w:type="pct"/>
            <w:tcBorders>
              <w:top w:val="nil"/>
              <w:left w:val="nil"/>
              <w:bottom w:val="single" w:sz="4" w:space="0" w:color="auto"/>
              <w:right w:val="single" w:sz="4" w:space="0" w:color="auto"/>
            </w:tcBorders>
            <w:shd w:val="clear" w:color="auto" w:fill="auto"/>
            <w:noWrap/>
            <w:vAlign w:val="bottom"/>
            <w:hideMark/>
          </w:tcPr>
          <w:p w14:paraId="123035BE"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528 186</w:t>
            </w:r>
          </w:p>
        </w:tc>
        <w:tc>
          <w:tcPr>
            <w:tcW w:w="342" w:type="pct"/>
            <w:tcBorders>
              <w:top w:val="nil"/>
              <w:left w:val="nil"/>
              <w:bottom w:val="single" w:sz="4" w:space="0" w:color="auto"/>
              <w:right w:val="single" w:sz="4" w:space="0" w:color="auto"/>
            </w:tcBorders>
            <w:shd w:val="clear" w:color="auto" w:fill="auto"/>
            <w:noWrap/>
            <w:vAlign w:val="bottom"/>
            <w:hideMark/>
          </w:tcPr>
          <w:p w14:paraId="5E8A706B"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565 419</w:t>
            </w:r>
          </w:p>
        </w:tc>
        <w:tc>
          <w:tcPr>
            <w:tcW w:w="342" w:type="pct"/>
            <w:tcBorders>
              <w:top w:val="nil"/>
              <w:left w:val="nil"/>
              <w:bottom w:val="single" w:sz="4" w:space="0" w:color="auto"/>
              <w:right w:val="single" w:sz="4" w:space="0" w:color="auto"/>
            </w:tcBorders>
            <w:shd w:val="clear" w:color="auto" w:fill="auto"/>
            <w:noWrap/>
            <w:vAlign w:val="bottom"/>
            <w:hideMark/>
          </w:tcPr>
          <w:p w14:paraId="0007B422"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540 705</w:t>
            </w:r>
          </w:p>
        </w:tc>
        <w:tc>
          <w:tcPr>
            <w:tcW w:w="342" w:type="pct"/>
            <w:tcBorders>
              <w:top w:val="nil"/>
              <w:left w:val="nil"/>
              <w:bottom w:val="single" w:sz="4" w:space="0" w:color="auto"/>
              <w:right w:val="single" w:sz="4" w:space="0" w:color="auto"/>
            </w:tcBorders>
            <w:shd w:val="clear" w:color="auto" w:fill="auto"/>
            <w:noWrap/>
            <w:vAlign w:val="bottom"/>
            <w:hideMark/>
          </w:tcPr>
          <w:p w14:paraId="4296281C"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553 040</w:t>
            </w:r>
          </w:p>
        </w:tc>
        <w:tc>
          <w:tcPr>
            <w:tcW w:w="342" w:type="pct"/>
            <w:tcBorders>
              <w:top w:val="nil"/>
              <w:left w:val="nil"/>
              <w:bottom w:val="single" w:sz="4" w:space="0" w:color="auto"/>
              <w:right w:val="single" w:sz="4" w:space="0" w:color="auto"/>
            </w:tcBorders>
            <w:shd w:val="clear" w:color="auto" w:fill="auto"/>
            <w:noWrap/>
            <w:vAlign w:val="bottom"/>
            <w:hideMark/>
          </w:tcPr>
          <w:p w14:paraId="158D9703"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603 392</w:t>
            </w:r>
          </w:p>
        </w:tc>
        <w:tc>
          <w:tcPr>
            <w:tcW w:w="261" w:type="pct"/>
            <w:tcBorders>
              <w:top w:val="nil"/>
              <w:left w:val="nil"/>
              <w:bottom w:val="single" w:sz="4" w:space="0" w:color="auto"/>
              <w:right w:val="single" w:sz="4" w:space="0" w:color="auto"/>
            </w:tcBorders>
          </w:tcPr>
          <w:p w14:paraId="73E71139"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596 313</w:t>
            </w:r>
          </w:p>
        </w:tc>
        <w:tc>
          <w:tcPr>
            <w:tcW w:w="261" w:type="pct"/>
            <w:tcBorders>
              <w:top w:val="nil"/>
              <w:left w:val="single" w:sz="4" w:space="0" w:color="auto"/>
              <w:bottom w:val="single" w:sz="4" w:space="0" w:color="auto"/>
              <w:right w:val="single" w:sz="4" w:space="0" w:color="auto"/>
            </w:tcBorders>
          </w:tcPr>
          <w:p w14:paraId="028CAE53"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662 253</w:t>
            </w:r>
          </w:p>
        </w:tc>
        <w:tc>
          <w:tcPr>
            <w:tcW w:w="261" w:type="pct"/>
            <w:tcBorders>
              <w:top w:val="nil"/>
              <w:left w:val="single" w:sz="4" w:space="0" w:color="auto"/>
              <w:bottom w:val="single" w:sz="4" w:space="0" w:color="auto"/>
              <w:right w:val="single" w:sz="4" w:space="0" w:color="auto"/>
            </w:tcBorders>
          </w:tcPr>
          <w:p w14:paraId="6A0847F1"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649 530</w:t>
            </w:r>
          </w:p>
        </w:tc>
        <w:tc>
          <w:tcPr>
            <w:tcW w:w="261" w:type="pct"/>
            <w:tcBorders>
              <w:top w:val="nil"/>
              <w:left w:val="single" w:sz="4" w:space="0" w:color="auto"/>
              <w:bottom w:val="single" w:sz="4" w:space="0" w:color="auto"/>
              <w:right w:val="single" w:sz="4" w:space="0" w:color="auto"/>
            </w:tcBorders>
          </w:tcPr>
          <w:p w14:paraId="5ABCE5AF"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650 622</w:t>
            </w:r>
          </w:p>
        </w:tc>
        <w:tc>
          <w:tcPr>
            <w:tcW w:w="430" w:type="pct"/>
            <w:tcBorders>
              <w:top w:val="nil"/>
              <w:left w:val="single" w:sz="4" w:space="0" w:color="auto"/>
              <w:bottom w:val="single" w:sz="4" w:space="0" w:color="auto"/>
              <w:right w:val="single" w:sz="12" w:space="0" w:color="auto"/>
            </w:tcBorders>
            <w:shd w:val="clear" w:color="auto" w:fill="auto"/>
            <w:noWrap/>
            <w:vAlign w:val="bottom"/>
          </w:tcPr>
          <w:p w14:paraId="1BC44218"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100,2</w:t>
            </w:r>
          </w:p>
        </w:tc>
      </w:tr>
      <w:tr w:rsidR="00AA3A5F" w:rsidRPr="00E90C27" w14:paraId="28063E6A" w14:textId="77777777" w:rsidTr="001E7821">
        <w:trPr>
          <w:trHeight w:val="300"/>
        </w:trPr>
        <w:tc>
          <w:tcPr>
            <w:tcW w:w="937" w:type="pct"/>
            <w:tcBorders>
              <w:top w:val="nil"/>
              <w:left w:val="single" w:sz="12" w:space="0" w:color="auto"/>
              <w:bottom w:val="single" w:sz="4" w:space="0" w:color="auto"/>
              <w:right w:val="single" w:sz="4" w:space="0" w:color="auto"/>
            </w:tcBorders>
            <w:shd w:val="clear" w:color="auto" w:fill="auto"/>
            <w:noWrap/>
            <w:vAlign w:val="bottom"/>
            <w:hideMark/>
          </w:tcPr>
          <w:p w14:paraId="4BFFB37D" w14:textId="77777777" w:rsidR="00AA3A5F" w:rsidRPr="00E90C27" w:rsidRDefault="00AA3A5F" w:rsidP="007A68D5">
            <w:pPr>
              <w:jc w:val="left"/>
              <w:rPr>
                <w:rFonts w:cs="Times New Roman"/>
                <w:b/>
                <w:bCs/>
                <w:color w:val="000000"/>
                <w:sz w:val="20"/>
                <w:szCs w:val="20"/>
                <w:lang w:val="cs-CZ"/>
              </w:rPr>
            </w:pPr>
            <w:proofErr w:type="spellStart"/>
            <w:r w:rsidRPr="00E90C27">
              <w:rPr>
                <w:rFonts w:cs="Times New Roman"/>
                <w:b/>
                <w:bCs/>
                <w:color w:val="000000"/>
                <w:sz w:val="20"/>
                <w:szCs w:val="20"/>
                <w:lang w:val="cs-CZ"/>
              </w:rPr>
              <w:t>Prům</w:t>
            </w:r>
            <w:proofErr w:type="spellEnd"/>
            <w:r w:rsidRPr="00E90C27">
              <w:rPr>
                <w:rFonts w:cs="Times New Roman"/>
                <w:b/>
                <w:bCs/>
                <w:color w:val="000000"/>
                <w:sz w:val="20"/>
                <w:szCs w:val="20"/>
                <w:lang w:val="cs-CZ"/>
              </w:rPr>
              <w:t>. počet včelstev na včelaře</w:t>
            </w:r>
          </w:p>
        </w:tc>
        <w:tc>
          <w:tcPr>
            <w:tcW w:w="539" w:type="pct"/>
            <w:tcBorders>
              <w:top w:val="nil"/>
              <w:left w:val="nil"/>
              <w:bottom w:val="single" w:sz="4" w:space="0" w:color="auto"/>
              <w:right w:val="single" w:sz="8" w:space="0" w:color="auto"/>
            </w:tcBorders>
            <w:shd w:val="clear" w:color="auto" w:fill="auto"/>
            <w:noWrap/>
            <w:vAlign w:val="bottom"/>
            <w:hideMark/>
          </w:tcPr>
          <w:p w14:paraId="2B95AB63"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ks</w:t>
            </w:r>
          </w:p>
        </w:tc>
        <w:tc>
          <w:tcPr>
            <w:tcW w:w="342" w:type="pct"/>
            <w:tcBorders>
              <w:top w:val="nil"/>
              <w:left w:val="nil"/>
              <w:bottom w:val="single" w:sz="4" w:space="0" w:color="auto"/>
              <w:right w:val="single" w:sz="4" w:space="0" w:color="auto"/>
            </w:tcBorders>
            <w:shd w:val="clear" w:color="auto" w:fill="auto"/>
            <w:noWrap/>
            <w:vAlign w:val="bottom"/>
            <w:hideMark/>
          </w:tcPr>
          <w:p w14:paraId="27DCBACD"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10,82</w:t>
            </w:r>
          </w:p>
        </w:tc>
        <w:tc>
          <w:tcPr>
            <w:tcW w:w="342" w:type="pct"/>
            <w:tcBorders>
              <w:top w:val="nil"/>
              <w:left w:val="nil"/>
              <w:bottom w:val="single" w:sz="4" w:space="0" w:color="auto"/>
              <w:right w:val="single" w:sz="4" w:space="0" w:color="auto"/>
            </w:tcBorders>
            <w:shd w:val="clear" w:color="auto" w:fill="auto"/>
            <w:noWrap/>
            <w:vAlign w:val="bottom"/>
            <w:hideMark/>
          </w:tcPr>
          <w:p w14:paraId="59F70909"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11,34</w:t>
            </w:r>
          </w:p>
        </w:tc>
        <w:tc>
          <w:tcPr>
            <w:tcW w:w="342" w:type="pct"/>
            <w:tcBorders>
              <w:top w:val="nil"/>
              <w:left w:val="nil"/>
              <w:bottom w:val="single" w:sz="4" w:space="0" w:color="auto"/>
              <w:right w:val="single" w:sz="4" w:space="0" w:color="auto"/>
            </w:tcBorders>
            <w:shd w:val="clear" w:color="auto" w:fill="auto"/>
            <w:noWrap/>
            <w:vAlign w:val="bottom"/>
            <w:hideMark/>
          </w:tcPr>
          <w:p w14:paraId="752291CE"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11,77</w:t>
            </w:r>
          </w:p>
        </w:tc>
        <w:tc>
          <w:tcPr>
            <w:tcW w:w="342" w:type="pct"/>
            <w:tcBorders>
              <w:top w:val="nil"/>
              <w:left w:val="nil"/>
              <w:bottom w:val="single" w:sz="4" w:space="0" w:color="auto"/>
              <w:right w:val="single" w:sz="4" w:space="0" w:color="auto"/>
            </w:tcBorders>
            <w:shd w:val="clear" w:color="auto" w:fill="auto"/>
            <w:noWrap/>
            <w:vAlign w:val="bottom"/>
            <w:hideMark/>
          </w:tcPr>
          <w:p w14:paraId="4A408F7C"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11,23</w:t>
            </w:r>
          </w:p>
        </w:tc>
        <w:tc>
          <w:tcPr>
            <w:tcW w:w="342" w:type="pct"/>
            <w:tcBorders>
              <w:top w:val="nil"/>
              <w:left w:val="nil"/>
              <w:bottom w:val="single" w:sz="4" w:space="0" w:color="auto"/>
              <w:right w:val="single" w:sz="4" w:space="0" w:color="auto"/>
            </w:tcBorders>
            <w:shd w:val="clear" w:color="auto" w:fill="auto"/>
            <w:noWrap/>
            <w:vAlign w:val="bottom"/>
            <w:hideMark/>
          </w:tcPr>
          <w:p w14:paraId="29CD676F"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11,32</w:t>
            </w:r>
          </w:p>
        </w:tc>
        <w:tc>
          <w:tcPr>
            <w:tcW w:w="342" w:type="pct"/>
            <w:tcBorders>
              <w:top w:val="nil"/>
              <w:left w:val="nil"/>
              <w:bottom w:val="single" w:sz="4" w:space="0" w:color="auto"/>
              <w:right w:val="single" w:sz="4" w:space="0" w:color="auto"/>
            </w:tcBorders>
            <w:shd w:val="clear" w:color="auto" w:fill="auto"/>
            <w:noWrap/>
            <w:vAlign w:val="bottom"/>
            <w:hideMark/>
          </w:tcPr>
          <w:p w14:paraId="4805C991"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11,95</w:t>
            </w:r>
          </w:p>
        </w:tc>
        <w:tc>
          <w:tcPr>
            <w:tcW w:w="261" w:type="pct"/>
            <w:tcBorders>
              <w:top w:val="nil"/>
              <w:left w:val="nil"/>
              <w:bottom w:val="single" w:sz="4" w:space="0" w:color="auto"/>
              <w:right w:val="single" w:sz="4" w:space="0" w:color="auto"/>
            </w:tcBorders>
          </w:tcPr>
          <w:p w14:paraId="21129B04"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10,96</w:t>
            </w:r>
          </w:p>
        </w:tc>
        <w:tc>
          <w:tcPr>
            <w:tcW w:w="261" w:type="pct"/>
            <w:tcBorders>
              <w:top w:val="nil"/>
              <w:left w:val="single" w:sz="4" w:space="0" w:color="auto"/>
              <w:bottom w:val="single" w:sz="4" w:space="0" w:color="auto"/>
              <w:right w:val="single" w:sz="4" w:space="0" w:color="auto"/>
            </w:tcBorders>
          </w:tcPr>
          <w:p w14:paraId="61D1AC09"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11,64</w:t>
            </w:r>
          </w:p>
        </w:tc>
        <w:tc>
          <w:tcPr>
            <w:tcW w:w="261" w:type="pct"/>
            <w:tcBorders>
              <w:top w:val="nil"/>
              <w:left w:val="single" w:sz="4" w:space="0" w:color="auto"/>
              <w:bottom w:val="single" w:sz="4" w:space="0" w:color="auto"/>
              <w:right w:val="single" w:sz="4" w:space="0" w:color="auto"/>
            </w:tcBorders>
          </w:tcPr>
          <w:p w14:paraId="43C1CF54"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11,32</w:t>
            </w:r>
          </w:p>
        </w:tc>
        <w:tc>
          <w:tcPr>
            <w:tcW w:w="261" w:type="pct"/>
            <w:tcBorders>
              <w:top w:val="nil"/>
              <w:left w:val="single" w:sz="4" w:space="0" w:color="auto"/>
              <w:bottom w:val="single" w:sz="4" w:space="0" w:color="auto"/>
              <w:right w:val="single" w:sz="4" w:space="0" w:color="auto"/>
            </w:tcBorders>
          </w:tcPr>
          <w:p w14:paraId="7D3B9F3B"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11,22</w:t>
            </w:r>
          </w:p>
        </w:tc>
        <w:tc>
          <w:tcPr>
            <w:tcW w:w="430" w:type="pct"/>
            <w:tcBorders>
              <w:top w:val="nil"/>
              <w:left w:val="single" w:sz="4" w:space="0" w:color="auto"/>
              <w:bottom w:val="single" w:sz="4" w:space="0" w:color="auto"/>
              <w:right w:val="single" w:sz="12" w:space="0" w:color="auto"/>
            </w:tcBorders>
            <w:shd w:val="clear" w:color="auto" w:fill="auto"/>
            <w:noWrap/>
            <w:vAlign w:val="bottom"/>
          </w:tcPr>
          <w:p w14:paraId="735892D7"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99,1</w:t>
            </w:r>
          </w:p>
        </w:tc>
      </w:tr>
      <w:tr w:rsidR="00AA3A5F" w:rsidRPr="00E90C27" w14:paraId="58F7EC53" w14:textId="77777777" w:rsidTr="001E7821">
        <w:trPr>
          <w:trHeight w:val="300"/>
        </w:trPr>
        <w:tc>
          <w:tcPr>
            <w:tcW w:w="937" w:type="pct"/>
            <w:tcBorders>
              <w:top w:val="nil"/>
              <w:left w:val="single" w:sz="12" w:space="0" w:color="auto"/>
              <w:bottom w:val="single" w:sz="4" w:space="0" w:color="auto"/>
              <w:right w:val="single" w:sz="4" w:space="0" w:color="auto"/>
            </w:tcBorders>
            <w:shd w:val="clear" w:color="auto" w:fill="auto"/>
            <w:noWrap/>
            <w:vAlign w:val="bottom"/>
            <w:hideMark/>
          </w:tcPr>
          <w:p w14:paraId="1295292D" w14:textId="77777777" w:rsidR="00AA3A5F" w:rsidRPr="00E90C27" w:rsidRDefault="00AA3A5F" w:rsidP="007A68D5">
            <w:pPr>
              <w:jc w:val="left"/>
              <w:rPr>
                <w:rFonts w:cs="Times New Roman"/>
                <w:b/>
                <w:bCs/>
                <w:color w:val="000000"/>
                <w:sz w:val="20"/>
                <w:szCs w:val="20"/>
                <w:lang w:val="cs-CZ"/>
              </w:rPr>
            </w:pPr>
            <w:r w:rsidRPr="00E90C27">
              <w:rPr>
                <w:rFonts w:cs="Times New Roman"/>
                <w:b/>
                <w:bCs/>
                <w:color w:val="000000"/>
                <w:sz w:val="20"/>
                <w:szCs w:val="20"/>
                <w:lang w:val="cs-CZ"/>
              </w:rPr>
              <w:t>Produkce medu</w:t>
            </w:r>
          </w:p>
        </w:tc>
        <w:tc>
          <w:tcPr>
            <w:tcW w:w="539" w:type="pct"/>
            <w:tcBorders>
              <w:top w:val="nil"/>
              <w:left w:val="nil"/>
              <w:bottom w:val="single" w:sz="4" w:space="0" w:color="auto"/>
              <w:right w:val="single" w:sz="8" w:space="0" w:color="auto"/>
            </w:tcBorders>
            <w:shd w:val="clear" w:color="auto" w:fill="auto"/>
            <w:noWrap/>
            <w:vAlign w:val="bottom"/>
            <w:hideMark/>
          </w:tcPr>
          <w:p w14:paraId="7F594D74"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t</w:t>
            </w:r>
          </w:p>
        </w:tc>
        <w:tc>
          <w:tcPr>
            <w:tcW w:w="342" w:type="pct"/>
            <w:tcBorders>
              <w:top w:val="nil"/>
              <w:left w:val="nil"/>
              <w:bottom w:val="single" w:sz="4" w:space="0" w:color="auto"/>
              <w:right w:val="single" w:sz="4" w:space="0" w:color="auto"/>
            </w:tcBorders>
            <w:shd w:val="clear" w:color="auto" w:fill="auto"/>
            <w:noWrap/>
            <w:vAlign w:val="bottom"/>
            <w:hideMark/>
          </w:tcPr>
          <w:p w14:paraId="1FFD5E7E"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6 891</w:t>
            </w:r>
          </w:p>
        </w:tc>
        <w:tc>
          <w:tcPr>
            <w:tcW w:w="342" w:type="pct"/>
            <w:tcBorders>
              <w:top w:val="nil"/>
              <w:left w:val="nil"/>
              <w:bottom w:val="single" w:sz="4" w:space="0" w:color="auto"/>
              <w:right w:val="single" w:sz="4" w:space="0" w:color="auto"/>
            </w:tcBorders>
            <w:shd w:val="clear" w:color="auto" w:fill="auto"/>
            <w:noWrap/>
            <w:vAlign w:val="bottom"/>
            <w:hideMark/>
          </w:tcPr>
          <w:p w14:paraId="561ECB48"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7 455</w:t>
            </w:r>
          </w:p>
        </w:tc>
        <w:tc>
          <w:tcPr>
            <w:tcW w:w="342" w:type="pct"/>
            <w:tcBorders>
              <w:top w:val="nil"/>
              <w:left w:val="nil"/>
              <w:bottom w:val="single" w:sz="4" w:space="0" w:color="auto"/>
              <w:right w:val="single" w:sz="4" w:space="0" w:color="auto"/>
            </w:tcBorders>
            <w:shd w:val="clear" w:color="auto" w:fill="auto"/>
            <w:noWrap/>
            <w:vAlign w:val="bottom"/>
            <w:hideMark/>
          </w:tcPr>
          <w:p w14:paraId="76697C3E"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11 301</w:t>
            </w:r>
          </w:p>
        </w:tc>
        <w:tc>
          <w:tcPr>
            <w:tcW w:w="342" w:type="pct"/>
            <w:tcBorders>
              <w:top w:val="nil"/>
              <w:left w:val="nil"/>
              <w:bottom w:val="single" w:sz="4" w:space="0" w:color="auto"/>
              <w:right w:val="single" w:sz="4" w:space="0" w:color="auto"/>
            </w:tcBorders>
            <w:shd w:val="clear" w:color="auto" w:fill="auto"/>
            <w:noWrap/>
            <w:vAlign w:val="bottom"/>
            <w:hideMark/>
          </w:tcPr>
          <w:p w14:paraId="47D056BA"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7 331</w:t>
            </w:r>
          </w:p>
        </w:tc>
        <w:tc>
          <w:tcPr>
            <w:tcW w:w="342" w:type="pct"/>
            <w:tcBorders>
              <w:top w:val="nil"/>
              <w:left w:val="nil"/>
              <w:bottom w:val="single" w:sz="4" w:space="0" w:color="auto"/>
              <w:right w:val="single" w:sz="4" w:space="0" w:color="auto"/>
            </w:tcBorders>
            <w:shd w:val="clear" w:color="auto" w:fill="auto"/>
            <w:noWrap/>
            <w:vAlign w:val="bottom"/>
            <w:hideMark/>
          </w:tcPr>
          <w:p w14:paraId="1E9BEF52"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8 063</w:t>
            </w:r>
          </w:p>
        </w:tc>
        <w:tc>
          <w:tcPr>
            <w:tcW w:w="342" w:type="pct"/>
            <w:tcBorders>
              <w:top w:val="nil"/>
              <w:left w:val="nil"/>
              <w:bottom w:val="single" w:sz="4" w:space="0" w:color="auto"/>
              <w:right w:val="single" w:sz="4" w:space="0" w:color="auto"/>
            </w:tcBorders>
            <w:shd w:val="clear" w:color="auto" w:fill="auto"/>
            <w:noWrap/>
            <w:vAlign w:val="bottom"/>
            <w:hideMark/>
          </w:tcPr>
          <w:p w14:paraId="5F38D6C8"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7 163</w:t>
            </w:r>
          </w:p>
        </w:tc>
        <w:tc>
          <w:tcPr>
            <w:tcW w:w="261" w:type="pct"/>
            <w:tcBorders>
              <w:top w:val="nil"/>
              <w:left w:val="nil"/>
              <w:bottom w:val="single" w:sz="4" w:space="0" w:color="auto"/>
              <w:right w:val="single" w:sz="4" w:space="0" w:color="auto"/>
            </w:tcBorders>
          </w:tcPr>
          <w:p w14:paraId="2294A720"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9 228</w:t>
            </w:r>
          </w:p>
        </w:tc>
        <w:tc>
          <w:tcPr>
            <w:tcW w:w="261" w:type="pct"/>
            <w:tcBorders>
              <w:top w:val="nil"/>
              <w:left w:val="single" w:sz="4" w:space="0" w:color="auto"/>
              <w:bottom w:val="single" w:sz="4" w:space="0" w:color="auto"/>
              <w:right w:val="single" w:sz="4" w:space="0" w:color="auto"/>
            </w:tcBorders>
          </w:tcPr>
          <w:p w14:paraId="3BDC42C1"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10 113</w:t>
            </w:r>
          </w:p>
        </w:tc>
        <w:tc>
          <w:tcPr>
            <w:tcW w:w="261" w:type="pct"/>
            <w:tcBorders>
              <w:top w:val="nil"/>
              <w:left w:val="single" w:sz="4" w:space="0" w:color="auto"/>
              <w:bottom w:val="single" w:sz="4" w:space="0" w:color="auto"/>
              <w:right w:val="single" w:sz="4" w:space="0" w:color="auto"/>
            </w:tcBorders>
          </w:tcPr>
          <w:p w14:paraId="0BF9AE93"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9 339</w:t>
            </w:r>
          </w:p>
        </w:tc>
        <w:tc>
          <w:tcPr>
            <w:tcW w:w="261" w:type="pct"/>
            <w:tcBorders>
              <w:top w:val="nil"/>
              <w:left w:val="single" w:sz="4" w:space="0" w:color="auto"/>
              <w:bottom w:val="single" w:sz="4" w:space="0" w:color="auto"/>
              <w:right w:val="single" w:sz="4" w:space="0" w:color="auto"/>
            </w:tcBorders>
          </w:tcPr>
          <w:p w14:paraId="04AAE352"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8 966</w:t>
            </w:r>
          </w:p>
        </w:tc>
        <w:tc>
          <w:tcPr>
            <w:tcW w:w="430" w:type="pct"/>
            <w:tcBorders>
              <w:top w:val="nil"/>
              <w:left w:val="single" w:sz="4" w:space="0" w:color="auto"/>
              <w:bottom w:val="single" w:sz="4" w:space="0" w:color="auto"/>
              <w:right w:val="single" w:sz="12" w:space="0" w:color="auto"/>
            </w:tcBorders>
            <w:shd w:val="clear" w:color="auto" w:fill="auto"/>
            <w:noWrap/>
            <w:vAlign w:val="bottom"/>
          </w:tcPr>
          <w:p w14:paraId="2ADF70D2"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96,0</w:t>
            </w:r>
          </w:p>
        </w:tc>
      </w:tr>
      <w:tr w:rsidR="00AA3A5F" w:rsidRPr="00E90C27" w14:paraId="4953B7B9" w14:textId="77777777" w:rsidTr="001E7821">
        <w:trPr>
          <w:trHeight w:val="315"/>
        </w:trPr>
        <w:tc>
          <w:tcPr>
            <w:tcW w:w="937" w:type="pct"/>
            <w:tcBorders>
              <w:top w:val="nil"/>
              <w:left w:val="single" w:sz="12" w:space="0" w:color="auto"/>
              <w:bottom w:val="single" w:sz="12" w:space="0" w:color="auto"/>
              <w:right w:val="single" w:sz="4" w:space="0" w:color="auto"/>
            </w:tcBorders>
            <w:shd w:val="clear" w:color="auto" w:fill="auto"/>
            <w:noWrap/>
            <w:vAlign w:val="bottom"/>
            <w:hideMark/>
          </w:tcPr>
          <w:p w14:paraId="3A32034B" w14:textId="77777777" w:rsidR="00AA3A5F" w:rsidRPr="00E90C27" w:rsidRDefault="00AA3A5F" w:rsidP="007A68D5">
            <w:pPr>
              <w:jc w:val="left"/>
              <w:rPr>
                <w:rFonts w:cs="Times New Roman"/>
                <w:b/>
                <w:bCs/>
                <w:color w:val="000000"/>
                <w:sz w:val="20"/>
                <w:szCs w:val="20"/>
                <w:lang w:val="cs-CZ"/>
              </w:rPr>
            </w:pPr>
            <w:r w:rsidRPr="00E90C27">
              <w:rPr>
                <w:rFonts w:cs="Times New Roman"/>
                <w:b/>
                <w:bCs/>
                <w:color w:val="000000"/>
                <w:sz w:val="20"/>
                <w:szCs w:val="20"/>
                <w:lang w:val="cs-CZ"/>
              </w:rPr>
              <w:t>Výnos medu na včelstvo</w:t>
            </w:r>
          </w:p>
        </w:tc>
        <w:tc>
          <w:tcPr>
            <w:tcW w:w="539" w:type="pct"/>
            <w:tcBorders>
              <w:top w:val="nil"/>
              <w:left w:val="nil"/>
              <w:bottom w:val="single" w:sz="12" w:space="0" w:color="auto"/>
              <w:right w:val="single" w:sz="8" w:space="0" w:color="auto"/>
            </w:tcBorders>
            <w:shd w:val="clear" w:color="auto" w:fill="auto"/>
            <w:noWrap/>
            <w:vAlign w:val="bottom"/>
            <w:hideMark/>
          </w:tcPr>
          <w:p w14:paraId="2BB5379A" w14:textId="77777777" w:rsidR="00AA3A5F" w:rsidRPr="00E90C27" w:rsidRDefault="00AA3A5F" w:rsidP="007A68D5">
            <w:pPr>
              <w:jc w:val="center"/>
              <w:rPr>
                <w:rFonts w:cs="Times New Roman"/>
                <w:b/>
                <w:bCs/>
                <w:color w:val="000000"/>
                <w:sz w:val="20"/>
                <w:szCs w:val="20"/>
                <w:lang w:val="cs-CZ"/>
              </w:rPr>
            </w:pPr>
            <w:r w:rsidRPr="00E90C27">
              <w:rPr>
                <w:rFonts w:cs="Times New Roman"/>
                <w:b/>
                <w:bCs/>
                <w:color w:val="000000"/>
                <w:sz w:val="20"/>
                <w:szCs w:val="20"/>
                <w:lang w:val="cs-CZ"/>
              </w:rPr>
              <w:t>kg/rok</w:t>
            </w:r>
          </w:p>
        </w:tc>
        <w:tc>
          <w:tcPr>
            <w:tcW w:w="342" w:type="pct"/>
            <w:tcBorders>
              <w:top w:val="nil"/>
              <w:left w:val="nil"/>
              <w:bottom w:val="single" w:sz="12" w:space="0" w:color="auto"/>
              <w:right w:val="single" w:sz="4" w:space="0" w:color="auto"/>
            </w:tcBorders>
            <w:shd w:val="clear" w:color="auto" w:fill="auto"/>
            <w:noWrap/>
            <w:vAlign w:val="bottom"/>
            <w:hideMark/>
          </w:tcPr>
          <w:p w14:paraId="6222E33D"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13,84</w:t>
            </w:r>
          </w:p>
        </w:tc>
        <w:tc>
          <w:tcPr>
            <w:tcW w:w="342" w:type="pct"/>
            <w:tcBorders>
              <w:top w:val="nil"/>
              <w:left w:val="nil"/>
              <w:bottom w:val="single" w:sz="12" w:space="0" w:color="auto"/>
              <w:right w:val="single" w:sz="4" w:space="0" w:color="auto"/>
            </w:tcBorders>
            <w:shd w:val="clear" w:color="auto" w:fill="auto"/>
            <w:noWrap/>
            <w:vAlign w:val="bottom"/>
            <w:hideMark/>
          </w:tcPr>
          <w:p w14:paraId="6F748242"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14,11</w:t>
            </w:r>
          </w:p>
        </w:tc>
        <w:tc>
          <w:tcPr>
            <w:tcW w:w="342" w:type="pct"/>
            <w:tcBorders>
              <w:top w:val="nil"/>
              <w:left w:val="nil"/>
              <w:bottom w:val="single" w:sz="12" w:space="0" w:color="auto"/>
              <w:right w:val="single" w:sz="4" w:space="0" w:color="auto"/>
            </w:tcBorders>
            <w:shd w:val="clear" w:color="auto" w:fill="auto"/>
            <w:noWrap/>
            <w:vAlign w:val="bottom"/>
            <w:hideMark/>
          </w:tcPr>
          <w:p w14:paraId="63B61BC8"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19,99</w:t>
            </w:r>
          </w:p>
        </w:tc>
        <w:tc>
          <w:tcPr>
            <w:tcW w:w="342" w:type="pct"/>
            <w:tcBorders>
              <w:top w:val="nil"/>
              <w:left w:val="nil"/>
              <w:bottom w:val="single" w:sz="12" w:space="0" w:color="auto"/>
              <w:right w:val="single" w:sz="4" w:space="0" w:color="auto"/>
            </w:tcBorders>
            <w:shd w:val="clear" w:color="auto" w:fill="auto"/>
            <w:noWrap/>
            <w:vAlign w:val="bottom"/>
            <w:hideMark/>
          </w:tcPr>
          <w:p w14:paraId="5C54A098"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13,56</w:t>
            </w:r>
          </w:p>
        </w:tc>
        <w:tc>
          <w:tcPr>
            <w:tcW w:w="342" w:type="pct"/>
            <w:tcBorders>
              <w:top w:val="nil"/>
              <w:left w:val="nil"/>
              <w:bottom w:val="single" w:sz="12" w:space="0" w:color="auto"/>
              <w:right w:val="single" w:sz="4" w:space="0" w:color="auto"/>
            </w:tcBorders>
            <w:shd w:val="clear" w:color="auto" w:fill="auto"/>
            <w:noWrap/>
            <w:vAlign w:val="bottom"/>
            <w:hideMark/>
          </w:tcPr>
          <w:p w14:paraId="35A1D85D"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14,58</w:t>
            </w:r>
          </w:p>
        </w:tc>
        <w:tc>
          <w:tcPr>
            <w:tcW w:w="342" w:type="pct"/>
            <w:tcBorders>
              <w:top w:val="nil"/>
              <w:left w:val="nil"/>
              <w:bottom w:val="single" w:sz="12" w:space="0" w:color="auto"/>
              <w:right w:val="single" w:sz="4" w:space="0" w:color="auto"/>
            </w:tcBorders>
            <w:shd w:val="clear" w:color="auto" w:fill="auto"/>
            <w:noWrap/>
            <w:vAlign w:val="bottom"/>
            <w:hideMark/>
          </w:tcPr>
          <w:p w14:paraId="1CF625E7"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11,87</w:t>
            </w:r>
          </w:p>
        </w:tc>
        <w:tc>
          <w:tcPr>
            <w:tcW w:w="261" w:type="pct"/>
            <w:tcBorders>
              <w:top w:val="single" w:sz="4" w:space="0" w:color="auto"/>
              <w:left w:val="nil"/>
              <w:bottom w:val="single" w:sz="12" w:space="0" w:color="auto"/>
              <w:right w:val="single" w:sz="4" w:space="0" w:color="auto"/>
            </w:tcBorders>
          </w:tcPr>
          <w:p w14:paraId="2A18D8A6"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15,48</w:t>
            </w:r>
          </w:p>
        </w:tc>
        <w:tc>
          <w:tcPr>
            <w:tcW w:w="261" w:type="pct"/>
            <w:tcBorders>
              <w:top w:val="single" w:sz="4" w:space="0" w:color="auto"/>
              <w:left w:val="single" w:sz="4" w:space="0" w:color="auto"/>
              <w:bottom w:val="single" w:sz="12" w:space="0" w:color="auto"/>
              <w:right w:val="single" w:sz="4" w:space="0" w:color="auto"/>
            </w:tcBorders>
          </w:tcPr>
          <w:p w14:paraId="163C27F5"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15,27</w:t>
            </w:r>
          </w:p>
        </w:tc>
        <w:tc>
          <w:tcPr>
            <w:tcW w:w="261" w:type="pct"/>
            <w:tcBorders>
              <w:top w:val="single" w:sz="4" w:space="0" w:color="auto"/>
              <w:left w:val="single" w:sz="4" w:space="0" w:color="auto"/>
              <w:bottom w:val="single" w:sz="12" w:space="0" w:color="auto"/>
              <w:right w:val="single" w:sz="4" w:space="0" w:color="auto"/>
            </w:tcBorders>
          </w:tcPr>
          <w:p w14:paraId="1CD598B4" w14:textId="77777777" w:rsidR="00AA3A5F" w:rsidRPr="00E90C27" w:rsidRDefault="00AA3A5F" w:rsidP="007A68D5">
            <w:pPr>
              <w:jc w:val="left"/>
              <w:rPr>
                <w:rFonts w:cs="Times New Roman"/>
                <w:color w:val="000000"/>
                <w:sz w:val="20"/>
                <w:szCs w:val="20"/>
                <w:lang w:val="cs-CZ"/>
              </w:rPr>
            </w:pPr>
            <w:r w:rsidRPr="00E90C27">
              <w:rPr>
                <w:rFonts w:cs="Times New Roman"/>
                <w:color w:val="000000"/>
                <w:sz w:val="20"/>
                <w:szCs w:val="20"/>
                <w:lang w:val="cs-CZ"/>
              </w:rPr>
              <w:t>14,69</w:t>
            </w:r>
          </w:p>
        </w:tc>
        <w:tc>
          <w:tcPr>
            <w:tcW w:w="261" w:type="pct"/>
            <w:tcBorders>
              <w:top w:val="single" w:sz="4" w:space="0" w:color="auto"/>
              <w:left w:val="single" w:sz="4" w:space="0" w:color="auto"/>
              <w:bottom w:val="single" w:sz="12" w:space="0" w:color="auto"/>
              <w:right w:val="single" w:sz="4" w:space="0" w:color="auto"/>
            </w:tcBorders>
          </w:tcPr>
          <w:p w14:paraId="494FFBCB"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14,24</w:t>
            </w:r>
          </w:p>
        </w:tc>
        <w:tc>
          <w:tcPr>
            <w:tcW w:w="430" w:type="pct"/>
            <w:tcBorders>
              <w:top w:val="nil"/>
              <w:left w:val="single" w:sz="4" w:space="0" w:color="auto"/>
              <w:bottom w:val="single" w:sz="12" w:space="0" w:color="auto"/>
              <w:right w:val="single" w:sz="12" w:space="0" w:color="auto"/>
            </w:tcBorders>
            <w:shd w:val="clear" w:color="auto" w:fill="auto"/>
            <w:noWrap/>
            <w:vAlign w:val="bottom"/>
          </w:tcPr>
          <w:p w14:paraId="1C7B82C0" w14:textId="77777777" w:rsidR="00AA3A5F" w:rsidRPr="00E90C27" w:rsidRDefault="00AA3A5F" w:rsidP="007A68D5">
            <w:pPr>
              <w:jc w:val="right"/>
              <w:rPr>
                <w:rFonts w:cs="Times New Roman"/>
                <w:color w:val="000000"/>
                <w:sz w:val="20"/>
                <w:szCs w:val="20"/>
                <w:lang w:val="cs-CZ"/>
              </w:rPr>
            </w:pPr>
            <w:r w:rsidRPr="00E90C27">
              <w:rPr>
                <w:rFonts w:cs="Times New Roman"/>
                <w:color w:val="000000"/>
                <w:sz w:val="20"/>
                <w:szCs w:val="20"/>
                <w:lang w:val="cs-CZ"/>
              </w:rPr>
              <w:t>96,9</w:t>
            </w:r>
          </w:p>
        </w:tc>
      </w:tr>
    </w:tbl>
    <w:p w14:paraId="2BBC01FC" w14:textId="77777777" w:rsidR="00AA3A5F" w:rsidRPr="00B25A22" w:rsidRDefault="00AA3A5F" w:rsidP="00AA3A5F">
      <w:pPr>
        <w:pStyle w:val="mezera"/>
        <w:rPr>
          <w:rFonts w:cs="Times New Roman"/>
          <w:sz w:val="18"/>
          <w:szCs w:val="18"/>
        </w:rPr>
      </w:pPr>
      <w:r w:rsidRPr="00B25A22">
        <w:rPr>
          <w:rFonts w:cs="Times New Roman"/>
          <w:sz w:val="18"/>
          <w:szCs w:val="18"/>
        </w:rPr>
        <w:t>Pramen: MZe</w:t>
      </w:r>
    </w:p>
    <w:p w14:paraId="66A4E8DA" w14:textId="77777777" w:rsidR="00AA3A5F" w:rsidRPr="00B25A22" w:rsidRDefault="00AA3A5F" w:rsidP="00AA3A5F">
      <w:pPr>
        <w:pStyle w:val="mezera"/>
        <w:rPr>
          <w:rFonts w:cs="Times New Roman"/>
          <w:b/>
          <w:sz w:val="22"/>
          <w:szCs w:val="22"/>
        </w:rPr>
      </w:pPr>
    </w:p>
    <w:p w14:paraId="1EE93486" w14:textId="4E00282C" w:rsidR="00AA3A5F" w:rsidRPr="001E7821" w:rsidRDefault="00AA3A5F" w:rsidP="001E7821">
      <w:pPr>
        <w:pStyle w:val="UZEINadpis4st"/>
      </w:pPr>
      <w:bookmarkStart w:id="103" w:name="_Toc12598442"/>
      <w:bookmarkStart w:id="104" w:name="_Toc81743843"/>
      <w:r w:rsidRPr="00B25A22">
        <w:lastRenderedPageBreak/>
        <w:t>Příloha 4</w:t>
      </w:r>
      <w:bookmarkStart w:id="105" w:name="_Toc12598443"/>
      <w:bookmarkEnd w:id="103"/>
      <w:r w:rsidR="001E7821">
        <w:t xml:space="preserve"> </w:t>
      </w:r>
      <w:r w:rsidRPr="00B25A22">
        <w:rPr>
          <w:rFonts w:cs="Times New Roman"/>
        </w:rPr>
        <w:t>Hlavní nákupní místa vybraných skupin potravin</w:t>
      </w:r>
      <w:bookmarkEnd w:id="104"/>
      <w:bookmarkEnd w:id="105"/>
    </w:p>
    <w:p w14:paraId="7390B7FE" w14:textId="77777777" w:rsidR="00AA3A5F" w:rsidRPr="00B25A22" w:rsidRDefault="00AA3A5F" w:rsidP="00AA3A5F">
      <w:pPr>
        <w:rPr>
          <w:rFonts w:cs="Times New Roman"/>
          <w:lang w:val="cs-CZ"/>
        </w:rPr>
      </w:pPr>
    </w:p>
    <w:p w14:paraId="11EF77C6" w14:textId="77777777" w:rsidR="00AA3A5F" w:rsidRPr="001E7821" w:rsidRDefault="00AA3A5F" w:rsidP="00AA3A5F">
      <w:pPr>
        <w:rPr>
          <w:rFonts w:eastAsia="Calibri" w:cs="Times New Roman"/>
          <w:b/>
          <w:sz w:val="20"/>
          <w:szCs w:val="20"/>
          <w:lang w:val="cs-CZ"/>
        </w:rPr>
      </w:pPr>
      <w:r w:rsidRPr="001E7821">
        <w:rPr>
          <w:rFonts w:eastAsia="Calibri" w:cs="Times New Roman"/>
          <w:b/>
          <w:sz w:val="20"/>
          <w:szCs w:val="20"/>
          <w:lang w:val="cs-CZ"/>
        </w:rPr>
        <w:t xml:space="preserve">Graf P 4. 1 </w:t>
      </w:r>
      <w:r w:rsidRPr="001E7821">
        <w:rPr>
          <w:rFonts w:eastAsia="Calibri" w:cs="Times New Roman"/>
          <w:b/>
          <w:bCs/>
          <w:sz w:val="20"/>
          <w:szCs w:val="20"/>
          <w:lang w:val="cs-CZ"/>
        </w:rPr>
        <w:t>Hlavní nákupní místo podle typu prodejny</w:t>
      </w:r>
      <w:r w:rsidRPr="001E7821">
        <w:rPr>
          <w:rFonts w:eastAsia="Calibri" w:cs="Times New Roman"/>
          <w:b/>
          <w:bCs/>
          <w:sz w:val="20"/>
          <w:szCs w:val="20"/>
          <w:vertAlign w:val="superscript"/>
          <w:lang w:val="cs-CZ"/>
        </w:rPr>
        <w:t xml:space="preserve">1) </w:t>
      </w:r>
      <w:r w:rsidRPr="001E7821">
        <w:rPr>
          <w:rFonts w:eastAsia="Calibri" w:cs="Times New Roman"/>
          <w:b/>
          <w:bCs/>
          <w:sz w:val="20"/>
          <w:szCs w:val="20"/>
          <w:lang w:val="cs-CZ"/>
        </w:rPr>
        <w:t>- čerstvé maso</w:t>
      </w:r>
    </w:p>
    <w:p w14:paraId="2AD29B02" w14:textId="77777777" w:rsidR="00AA3A5F" w:rsidRPr="00B25A22" w:rsidRDefault="00AA3A5F" w:rsidP="00AA3A5F">
      <w:pPr>
        <w:spacing w:after="60" w:line="240" w:lineRule="atLeast"/>
        <w:rPr>
          <w:rFonts w:eastAsia="Calibri" w:cs="Times New Roman"/>
          <w:sz w:val="22"/>
          <w:lang w:val="cs-CZ"/>
        </w:rPr>
      </w:pPr>
      <w:r w:rsidRPr="00B25A22">
        <w:rPr>
          <w:rFonts w:cs="Times New Roman"/>
          <w:noProof/>
          <w:sz w:val="22"/>
          <w:lang w:val="cs-CZ" w:eastAsia="cs-CZ"/>
        </w:rPr>
        <w:drawing>
          <wp:inline distT="0" distB="0" distL="0" distR="0" wp14:anchorId="2A0F6FEF" wp14:editId="2D45DC40">
            <wp:extent cx="5760720" cy="2114550"/>
            <wp:effectExtent l="0" t="0" r="11430" b="0"/>
            <wp:docPr id="36" name="Graf 36">
              <a:extLst xmlns:a="http://schemas.openxmlformats.org/drawingml/2006/main">
                <a:ext uri="{FF2B5EF4-FFF2-40B4-BE49-F238E27FC236}">
                  <a16:creationId xmlns:a16="http://schemas.microsoft.com/office/drawing/2014/main" id="{08F14EC2-7DBF-4379-A8CB-279C4851600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6C91586B" w14:textId="77777777" w:rsidR="00AA3A5F" w:rsidRPr="00181315" w:rsidRDefault="00AA3A5F" w:rsidP="00181315">
      <w:pPr>
        <w:pStyle w:val="Odstavecseseznamem"/>
        <w:numPr>
          <w:ilvl w:val="0"/>
          <w:numId w:val="13"/>
        </w:numPr>
        <w:spacing w:after="60" w:line="240" w:lineRule="atLeast"/>
        <w:ind w:left="284" w:hanging="284"/>
        <w:contextualSpacing w:val="0"/>
        <w:rPr>
          <w:i/>
          <w:iCs/>
          <w:sz w:val="18"/>
          <w:szCs w:val="18"/>
        </w:rPr>
      </w:pPr>
      <w:r w:rsidRPr="00181315">
        <w:rPr>
          <w:i/>
          <w:iCs/>
          <w:sz w:val="18"/>
          <w:szCs w:val="18"/>
        </w:rPr>
        <w:t>% podíl z těch, kteří danou potravinu nakupují.</w:t>
      </w:r>
    </w:p>
    <w:p w14:paraId="1EF9DFA8" w14:textId="77777777" w:rsidR="00AA3A5F" w:rsidRPr="00181315" w:rsidRDefault="00AA3A5F" w:rsidP="00181315">
      <w:pPr>
        <w:pStyle w:val="Odstavecseseznamem"/>
        <w:numPr>
          <w:ilvl w:val="0"/>
          <w:numId w:val="13"/>
        </w:numPr>
        <w:spacing w:after="120" w:line="240" w:lineRule="atLeast"/>
        <w:ind w:left="284" w:hanging="284"/>
        <w:contextualSpacing w:val="0"/>
        <w:rPr>
          <w:i/>
          <w:iCs/>
          <w:sz w:val="18"/>
          <w:szCs w:val="18"/>
        </w:rPr>
      </w:pPr>
      <w:r w:rsidRPr="00181315">
        <w:rPr>
          <w:i/>
          <w:iCs/>
          <w:sz w:val="18"/>
          <w:szCs w:val="18"/>
        </w:rPr>
        <w:t xml:space="preserve">Pramen: Zpracováno ÚZEI z dat </w:t>
      </w:r>
      <w:proofErr w:type="spellStart"/>
      <w:r w:rsidRPr="00181315">
        <w:rPr>
          <w:i/>
          <w:iCs/>
          <w:sz w:val="18"/>
          <w:szCs w:val="18"/>
        </w:rPr>
        <w:t>GfK</w:t>
      </w:r>
      <w:proofErr w:type="spellEnd"/>
      <w:r w:rsidRPr="00181315">
        <w:rPr>
          <w:i/>
          <w:iCs/>
          <w:sz w:val="18"/>
          <w:szCs w:val="18"/>
        </w:rPr>
        <w:t xml:space="preserve"> Czech; jedná se o poslední dostupné údaje, nová studie z roku 2019 „</w:t>
      </w:r>
      <w:proofErr w:type="spellStart"/>
      <w:r w:rsidRPr="00181315">
        <w:rPr>
          <w:i/>
          <w:iCs/>
          <w:sz w:val="18"/>
          <w:szCs w:val="18"/>
        </w:rPr>
        <w:t>Shopper</w:t>
      </w:r>
      <w:proofErr w:type="spellEnd"/>
      <w:r w:rsidRPr="00181315">
        <w:rPr>
          <w:i/>
          <w:iCs/>
          <w:sz w:val="18"/>
          <w:szCs w:val="18"/>
        </w:rPr>
        <w:t xml:space="preserve"> </w:t>
      </w:r>
      <w:proofErr w:type="spellStart"/>
      <w:r w:rsidRPr="00181315">
        <w:rPr>
          <w:i/>
          <w:iCs/>
          <w:sz w:val="18"/>
          <w:szCs w:val="18"/>
        </w:rPr>
        <w:t>GfK</w:t>
      </w:r>
      <w:proofErr w:type="spellEnd"/>
      <w:r w:rsidRPr="00181315">
        <w:rPr>
          <w:i/>
          <w:iCs/>
          <w:sz w:val="18"/>
          <w:szCs w:val="18"/>
        </w:rPr>
        <w:t>“ tyto informace nezahrnuje.</w:t>
      </w:r>
    </w:p>
    <w:p w14:paraId="73060153" w14:textId="5385FB76" w:rsidR="00AA3A5F" w:rsidRPr="00181315" w:rsidRDefault="00AA3A5F" w:rsidP="00AA3A5F">
      <w:pPr>
        <w:rPr>
          <w:rFonts w:eastAsia="Calibri" w:cs="Times New Roman"/>
          <w:b/>
          <w:sz w:val="20"/>
          <w:szCs w:val="20"/>
          <w:lang w:val="cs-CZ"/>
        </w:rPr>
      </w:pPr>
      <w:r w:rsidRPr="00181315">
        <w:rPr>
          <w:rFonts w:eastAsia="Calibri" w:cs="Times New Roman"/>
          <w:b/>
          <w:sz w:val="20"/>
          <w:szCs w:val="20"/>
          <w:lang w:val="cs-CZ"/>
        </w:rPr>
        <w:t>Graf P 4.2 Hlavní nákupní místo podle typu prodejny1) - uzeniny</w:t>
      </w:r>
    </w:p>
    <w:p w14:paraId="486DD06D" w14:textId="77777777" w:rsidR="00AA3A5F" w:rsidRPr="00B25A22" w:rsidRDefault="00AA3A5F" w:rsidP="00AA3A5F">
      <w:pPr>
        <w:spacing w:after="60" w:line="240" w:lineRule="atLeast"/>
        <w:rPr>
          <w:rFonts w:eastAsia="Calibri" w:cs="Times New Roman"/>
          <w:sz w:val="22"/>
          <w:lang w:val="cs-CZ"/>
        </w:rPr>
      </w:pPr>
      <w:r w:rsidRPr="00B25A22">
        <w:rPr>
          <w:rFonts w:cs="Times New Roman"/>
          <w:noProof/>
          <w:lang w:val="cs-CZ" w:eastAsia="cs-CZ"/>
        </w:rPr>
        <w:drawing>
          <wp:inline distT="0" distB="0" distL="0" distR="0" wp14:anchorId="6C1F451C" wp14:editId="06AB366A">
            <wp:extent cx="5760720" cy="2114550"/>
            <wp:effectExtent l="0" t="0" r="11430" b="0"/>
            <wp:docPr id="37" name="Graf 37">
              <a:extLst xmlns:a="http://schemas.openxmlformats.org/drawingml/2006/main">
                <a:ext uri="{FF2B5EF4-FFF2-40B4-BE49-F238E27FC236}">
                  <a16:creationId xmlns:a16="http://schemas.microsoft.com/office/drawing/2014/main" id="{A23FCB71-E6CA-4BB5-8F57-BC3D363920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37E1C86E" w14:textId="77777777" w:rsidR="00AA3A5F" w:rsidRPr="00181315" w:rsidRDefault="00AA3A5F" w:rsidP="00181315">
      <w:pPr>
        <w:pStyle w:val="Odstavecseseznamem"/>
        <w:numPr>
          <w:ilvl w:val="0"/>
          <w:numId w:val="14"/>
        </w:numPr>
        <w:spacing w:line="240" w:lineRule="atLeast"/>
        <w:ind w:left="284" w:hanging="295"/>
        <w:contextualSpacing w:val="0"/>
        <w:rPr>
          <w:i/>
          <w:iCs/>
          <w:sz w:val="18"/>
          <w:szCs w:val="18"/>
        </w:rPr>
      </w:pPr>
      <w:r w:rsidRPr="00181315">
        <w:rPr>
          <w:i/>
          <w:iCs/>
          <w:sz w:val="18"/>
          <w:szCs w:val="18"/>
        </w:rPr>
        <w:t>% podíl z těch, kteří danou potravinu nakupují.</w:t>
      </w:r>
    </w:p>
    <w:p w14:paraId="6BD2EDD6" w14:textId="77777777" w:rsidR="00AA3A5F" w:rsidRPr="00181315" w:rsidRDefault="00AA3A5F" w:rsidP="00181315">
      <w:pPr>
        <w:pStyle w:val="Odstavecseseznamem"/>
        <w:numPr>
          <w:ilvl w:val="0"/>
          <w:numId w:val="13"/>
        </w:numPr>
        <w:spacing w:after="120" w:line="240" w:lineRule="atLeast"/>
        <w:ind w:left="284" w:hanging="295"/>
        <w:contextualSpacing w:val="0"/>
        <w:rPr>
          <w:i/>
          <w:iCs/>
          <w:sz w:val="18"/>
          <w:szCs w:val="18"/>
        </w:rPr>
      </w:pPr>
      <w:r w:rsidRPr="00181315">
        <w:rPr>
          <w:i/>
          <w:iCs/>
          <w:sz w:val="18"/>
          <w:szCs w:val="18"/>
        </w:rPr>
        <w:t xml:space="preserve">Pramen: Zpracováno ÚZEI z dat </w:t>
      </w:r>
      <w:proofErr w:type="spellStart"/>
      <w:r w:rsidRPr="00181315">
        <w:rPr>
          <w:i/>
          <w:iCs/>
          <w:sz w:val="18"/>
          <w:szCs w:val="18"/>
        </w:rPr>
        <w:t>GfK</w:t>
      </w:r>
      <w:proofErr w:type="spellEnd"/>
      <w:r w:rsidRPr="00181315">
        <w:rPr>
          <w:i/>
          <w:iCs/>
          <w:sz w:val="18"/>
          <w:szCs w:val="18"/>
        </w:rPr>
        <w:t xml:space="preserve"> Czech; jedná se o poslední dostupné údaje, nová studie z roku 2019 „</w:t>
      </w:r>
      <w:proofErr w:type="spellStart"/>
      <w:r w:rsidRPr="00181315">
        <w:rPr>
          <w:i/>
          <w:iCs/>
          <w:sz w:val="18"/>
          <w:szCs w:val="18"/>
        </w:rPr>
        <w:t>Shopper</w:t>
      </w:r>
      <w:proofErr w:type="spellEnd"/>
      <w:r w:rsidRPr="00181315">
        <w:rPr>
          <w:i/>
          <w:iCs/>
          <w:sz w:val="18"/>
          <w:szCs w:val="18"/>
        </w:rPr>
        <w:t xml:space="preserve"> </w:t>
      </w:r>
      <w:proofErr w:type="spellStart"/>
      <w:r w:rsidRPr="00181315">
        <w:rPr>
          <w:i/>
          <w:iCs/>
          <w:sz w:val="18"/>
          <w:szCs w:val="18"/>
        </w:rPr>
        <w:t>GfK</w:t>
      </w:r>
      <w:proofErr w:type="spellEnd"/>
      <w:r w:rsidRPr="00181315">
        <w:rPr>
          <w:i/>
          <w:iCs/>
          <w:sz w:val="18"/>
          <w:szCs w:val="18"/>
        </w:rPr>
        <w:t>“ tyto informace nezahrnuje.</w:t>
      </w:r>
    </w:p>
    <w:p w14:paraId="15FB2EB2" w14:textId="77777777" w:rsidR="00AA3A5F" w:rsidRPr="00B25A22" w:rsidRDefault="00AA3A5F" w:rsidP="00AA3A5F">
      <w:pPr>
        <w:rPr>
          <w:rFonts w:eastAsia="Calibri" w:cs="Times New Roman"/>
          <w:b/>
          <w:sz w:val="22"/>
          <w:lang w:val="cs-CZ"/>
        </w:rPr>
      </w:pPr>
      <w:r w:rsidRPr="00B25A22">
        <w:rPr>
          <w:rFonts w:eastAsia="Calibri" w:cs="Times New Roman"/>
          <w:b/>
          <w:sz w:val="22"/>
          <w:lang w:val="cs-CZ"/>
        </w:rPr>
        <w:t>Graf P 4.3 Hlavní nákupní místo podle typu prodejny1) - sýry</w:t>
      </w:r>
    </w:p>
    <w:p w14:paraId="603B1131" w14:textId="77777777" w:rsidR="00AA3A5F" w:rsidRPr="00B25A22" w:rsidRDefault="00AA3A5F" w:rsidP="00AA3A5F">
      <w:pPr>
        <w:spacing w:after="60" w:line="240" w:lineRule="atLeast"/>
        <w:rPr>
          <w:rFonts w:eastAsia="Calibri" w:cs="Times New Roman"/>
          <w:sz w:val="22"/>
          <w:lang w:val="cs-CZ"/>
        </w:rPr>
      </w:pPr>
      <w:r w:rsidRPr="00B25A22">
        <w:rPr>
          <w:rFonts w:cs="Times New Roman"/>
          <w:noProof/>
          <w:lang w:val="cs-CZ" w:eastAsia="cs-CZ"/>
        </w:rPr>
        <w:drawing>
          <wp:inline distT="0" distB="0" distL="0" distR="0" wp14:anchorId="71534211" wp14:editId="221A83E8">
            <wp:extent cx="5760720" cy="2152650"/>
            <wp:effectExtent l="0" t="0" r="11430" b="0"/>
            <wp:docPr id="38" name="Graf 38">
              <a:extLst xmlns:a="http://schemas.openxmlformats.org/drawingml/2006/main">
                <a:ext uri="{FF2B5EF4-FFF2-40B4-BE49-F238E27FC236}">
                  <a16:creationId xmlns:a16="http://schemas.microsoft.com/office/drawing/2014/main" id="{510D4E2C-21B9-4A51-8C01-1E30C08A84C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550F7D49" w14:textId="77777777" w:rsidR="00AA3A5F" w:rsidRPr="00181315" w:rsidRDefault="00AA3A5F" w:rsidP="00181315">
      <w:pPr>
        <w:pStyle w:val="Odstavecseseznamem"/>
        <w:numPr>
          <w:ilvl w:val="0"/>
          <w:numId w:val="16"/>
        </w:numPr>
        <w:spacing w:before="60" w:after="60" w:line="240" w:lineRule="atLeast"/>
        <w:ind w:left="284" w:hanging="284"/>
        <w:rPr>
          <w:i/>
          <w:iCs/>
          <w:sz w:val="18"/>
          <w:szCs w:val="18"/>
        </w:rPr>
      </w:pPr>
      <w:r w:rsidRPr="00181315">
        <w:rPr>
          <w:i/>
          <w:iCs/>
          <w:sz w:val="18"/>
          <w:szCs w:val="18"/>
        </w:rPr>
        <w:t>% podíl z těch, kteří danou potravinu nakupují.</w:t>
      </w:r>
    </w:p>
    <w:p w14:paraId="4E46365B" w14:textId="77777777" w:rsidR="00AA3A5F" w:rsidRPr="00181315" w:rsidRDefault="00AA3A5F" w:rsidP="00181315">
      <w:pPr>
        <w:pStyle w:val="Odstavecseseznamem"/>
        <w:numPr>
          <w:ilvl w:val="0"/>
          <w:numId w:val="13"/>
        </w:numPr>
        <w:spacing w:after="120" w:line="240" w:lineRule="atLeast"/>
        <w:ind w:left="284" w:hanging="284"/>
        <w:contextualSpacing w:val="0"/>
        <w:rPr>
          <w:i/>
          <w:iCs/>
          <w:sz w:val="18"/>
          <w:szCs w:val="18"/>
        </w:rPr>
      </w:pPr>
      <w:r w:rsidRPr="00181315">
        <w:rPr>
          <w:i/>
          <w:iCs/>
          <w:sz w:val="18"/>
          <w:szCs w:val="18"/>
        </w:rPr>
        <w:lastRenderedPageBreak/>
        <w:t xml:space="preserve">Pramen: Zpracováno ÚZEI z dat </w:t>
      </w:r>
      <w:proofErr w:type="spellStart"/>
      <w:r w:rsidRPr="00181315">
        <w:rPr>
          <w:i/>
          <w:iCs/>
          <w:sz w:val="18"/>
          <w:szCs w:val="18"/>
        </w:rPr>
        <w:t>GfK</w:t>
      </w:r>
      <w:proofErr w:type="spellEnd"/>
      <w:r w:rsidRPr="00181315">
        <w:rPr>
          <w:i/>
          <w:iCs/>
          <w:sz w:val="18"/>
          <w:szCs w:val="18"/>
        </w:rPr>
        <w:t xml:space="preserve"> Czech; jedná se o poslední dostupné údaje, nová studie z roku 2019 „</w:t>
      </w:r>
      <w:proofErr w:type="spellStart"/>
      <w:r w:rsidRPr="00181315">
        <w:rPr>
          <w:i/>
          <w:iCs/>
          <w:sz w:val="18"/>
          <w:szCs w:val="18"/>
        </w:rPr>
        <w:t>Shopper</w:t>
      </w:r>
      <w:proofErr w:type="spellEnd"/>
      <w:r w:rsidRPr="00181315">
        <w:rPr>
          <w:i/>
          <w:iCs/>
          <w:sz w:val="18"/>
          <w:szCs w:val="18"/>
        </w:rPr>
        <w:t xml:space="preserve"> </w:t>
      </w:r>
      <w:proofErr w:type="spellStart"/>
      <w:r w:rsidRPr="00181315">
        <w:rPr>
          <w:i/>
          <w:iCs/>
          <w:sz w:val="18"/>
          <w:szCs w:val="18"/>
        </w:rPr>
        <w:t>GfK</w:t>
      </w:r>
      <w:proofErr w:type="spellEnd"/>
      <w:r w:rsidRPr="00181315">
        <w:rPr>
          <w:i/>
          <w:iCs/>
          <w:sz w:val="18"/>
          <w:szCs w:val="18"/>
        </w:rPr>
        <w:t>“ tyto informace nezahrnuje.</w:t>
      </w:r>
    </w:p>
    <w:p w14:paraId="76A01CEB" w14:textId="77777777" w:rsidR="00AA3A5F" w:rsidRPr="00181315" w:rsidRDefault="00AA3A5F" w:rsidP="00AA3A5F">
      <w:pPr>
        <w:rPr>
          <w:rFonts w:eastAsia="Calibri" w:cs="Times New Roman"/>
          <w:b/>
          <w:sz w:val="20"/>
          <w:szCs w:val="20"/>
          <w:lang w:val="cs-CZ"/>
        </w:rPr>
      </w:pPr>
      <w:r w:rsidRPr="00181315">
        <w:rPr>
          <w:rFonts w:eastAsia="Calibri" w:cs="Times New Roman"/>
          <w:b/>
          <w:sz w:val="20"/>
          <w:szCs w:val="20"/>
          <w:lang w:val="cs-CZ"/>
        </w:rPr>
        <w:t>Graf P 4. 4 Hlavní nákupní místo podle typu prodejny1) – čerstvé pečivo</w:t>
      </w:r>
    </w:p>
    <w:p w14:paraId="778257BB" w14:textId="77777777" w:rsidR="00AA3A5F" w:rsidRPr="00B25A22" w:rsidRDefault="00AA3A5F" w:rsidP="00AA3A5F">
      <w:pPr>
        <w:spacing w:after="60"/>
        <w:rPr>
          <w:rFonts w:eastAsia="Calibri" w:cs="Times New Roman"/>
          <w:sz w:val="22"/>
          <w:lang w:val="cs-CZ"/>
        </w:rPr>
      </w:pPr>
      <w:r w:rsidRPr="00B25A22">
        <w:rPr>
          <w:rFonts w:cs="Times New Roman"/>
          <w:noProof/>
          <w:lang w:val="cs-CZ" w:eastAsia="cs-CZ"/>
        </w:rPr>
        <w:drawing>
          <wp:inline distT="0" distB="0" distL="0" distR="0" wp14:anchorId="6E432D53" wp14:editId="222EC563">
            <wp:extent cx="5760720" cy="2076450"/>
            <wp:effectExtent l="0" t="0" r="11430" b="0"/>
            <wp:docPr id="40" name="Graf 40">
              <a:extLst xmlns:a="http://schemas.openxmlformats.org/drawingml/2006/main">
                <a:ext uri="{FF2B5EF4-FFF2-40B4-BE49-F238E27FC236}">
                  <a16:creationId xmlns:a16="http://schemas.microsoft.com/office/drawing/2014/main" id="{498A443E-47C3-4753-9C36-02E8F9520A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5E6CA495" w14:textId="77777777" w:rsidR="00AA3A5F" w:rsidRPr="00181315" w:rsidRDefault="00AA3A5F" w:rsidP="00181315">
      <w:pPr>
        <w:pStyle w:val="Odstavecseseznamem"/>
        <w:numPr>
          <w:ilvl w:val="0"/>
          <w:numId w:val="15"/>
        </w:numPr>
        <w:spacing w:before="60" w:after="60" w:line="240" w:lineRule="atLeast"/>
        <w:ind w:left="284" w:hanging="284"/>
        <w:contextualSpacing w:val="0"/>
        <w:rPr>
          <w:i/>
          <w:iCs/>
          <w:sz w:val="18"/>
          <w:szCs w:val="18"/>
        </w:rPr>
      </w:pPr>
      <w:r w:rsidRPr="00181315">
        <w:rPr>
          <w:i/>
          <w:iCs/>
          <w:sz w:val="18"/>
          <w:szCs w:val="18"/>
        </w:rPr>
        <w:t>% podíl z těch, kteří danou potravinu nakupují.</w:t>
      </w:r>
    </w:p>
    <w:p w14:paraId="08F2C784" w14:textId="77777777" w:rsidR="00AA3A5F" w:rsidRPr="00181315" w:rsidRDefault="00AA3A5F" w:rsidP="00181315">
      <w:pPr>
        <w:pStyle w:val="Odstavecseseznamem"/>
        <w:numPr>
          <w:ilvl w:val="0"/>
          <w:numId w:val="13"/>
        </w:numPr>
        <w:spacing w:after="120" w:line="240" w:lineRule="atLeast"/>
        <w:ind w:left="284" w:hanging="284"/>
        <w:contextualSpacing w:val="0"/>
        <w:rPr>
          <w:i/>
          <w:iCs/>
          <w:sz w:val="18"/>
          <w:szCs w:val="18"/>
        </w:rPr>
      </w:pPr>
      <w:r w:rsidRPr="00181315">
        <w:rPr>
          <w:i/>
          <w:iCs/>
          <w:sz w:val="18"/>
          <w:szCs w:val="18"/>
        </w:rPr>
        <w:t xml:space="preserve">Pramen: Zpracováno ÚZEI z dat </w:t>
      </w:r>
      <w:proofErr w:type="spellStart"/>
      <w:r w:rsidRPr="00181315">
        <w:rPr>
          <w:i/>
          <w:iCs/>
          <w:sz w:val="18"/>
          <w:szCs w:val="18"/>
        </w:rPr>
        <w:t>GfK</w:t>
      </w:r>
      <w:proofErr w:type="spellEnd"/>
      <w:r w:rsidRPr="00181315">
        <w:rPr>
          <w:i/>
          <w:iCs/>
          <w:sz w:val="18"/>
          <w:szCs w:val="18"/>
        </w:rPr>
        <w:t xml:space="preserve"> Czech; jedná se o poslední dostupné údaje, nová studie z roku 2019 „</w:t>
      </w:r>
      <w:proofErr w:type="spellStart"/>
      <w:r w:rsidRPr="00181315">
        <w:rPr>
          <w:i/>
          <w:iCs/>
          <w:sz w:val="18"/>
          <w:szCs w:val="18"/>
        </w:rPr>
        <w:t>Shopper</w:t>
      </w:r>
      <w:proofErr w:type="spellEnd"/>
      <w:r w:rsidRPr="00181315">
        <w:rPr>
          <w:i/>
          <w:iCs/>
          <w:sz w:val="18"/>
          <w:szCs w:val="18"/>
        </w:rPr>
        <w:t xml:space="preserve"> </w:t>
      </w:r>
      <w:proofErr w:type="spellStart"/>
      <w:r w:rsidRPr="00181315">
        <w:rPr>
          <w:i/>
          <w:iCs/>
          <w:sz w:val="18"/>
          <w:szCs w:val="18"/>
        </w:rPr>
        <w:t>GfK</w:t>
      </w:r>
      <w:proofErr w:type="spellEnd"/>
      <w:r w:rsidRPr="00181315">
        <w:rPr>
          <w:i/>
          <w:iCs/>
          <w:sz w:val="18"/>
          <w:szCs w:val="18"/>
        </w:rPr>
        <w:t>“ tyto informace nezahrnuje.</w:t>
      </w:r>
    </w:p>
    <w:p w14:paraId="64DCCF32" w14:textId="77777777" w:rsidR="00AA3A5F" w:rsidRPr="00B25A22" w:rsidRDefault="00AA3A5F" w:rsidP="00AA3A5F">
      <w:pPr>
        <w:spacing w:line="240" w:lineRule="atLeast"/>
        <w:rPr>
          <w:rFonts w:eastAsia="Calibri" w:cs="Times New Roman"/>
          <w:sz w:val="18"/>
          <w:szCs w:val="18"/>
          <w:lang w:val="cs-CZ"/>
        </w:rPr>
      </w:pPr>
    </w:p>
    <w:p w14:paraId="06058C81" w14:textId="77777777" w:rsidR="00AA3A5F" w:rsidRPr="00181315" w:rsidRDefault="00AA3A5F" w:rsidP="00AA3A5F">
      <w:pPr>
        <w:rPr>
          <w:rFonts w:eastAsia="Calibri" w:cs="Times New Roman"/>
          <w:b/>
          <w:sz w:val="20"/>
          <w:szCs w:val="20"/>
          <w:lang w:val="cs-CZ"/>
        </w:rPr>
      </w:pPr>
      <w:r w:rsidRPr="00181315">
        <w:rPr>
          <w:rFonts w:eastAsia="Calibri" w:cs="Times New Roman"/>
          <w:b/>
          <w:sz w:val="20"/>
          <w:szCs w:val="20"/>
          <w:lang w:val="cs-CZ"/>
        </w:rPr>
        <w:t>Graf P 4. 5 Hlavní nákupní místo podle typu prodejny1) – ovoce a zelenina</w:t>
      </w:r>
    </w:p>
    <w:p w14:paraId="1DEBF473" w14:textId="77777777" w:rsidR="00AA3A5F" w:rsidRPr="00B25A22" w:rsidRDefault="00AA3A5F" w:rsidP="00AA3A5F">
      <w:pPr>
        <w:spacing w:after="60" w:line="240" w:lineRule="atLeast"/>
        <w:rPr>
          <w:rFonts w:eastAsia="Calibri" w:cs="Times New Roman"/>
          <w:sz w:val="18"/>
          <w:szCs w:val="18"/>
          <w:lang w:val="cs-CZ"/>
        </w:rPr>
      </w:pPr>
      <w:r w:rsidRPr="00B25A22">
        <w:rPr>
          <w:rFonts w:cs="Times New Roman"/>
          <w:noProof/>
          <w:lang w:val="cs-CZ" w:eastAsia="cs-CZ"/>
        </w:rPr>
        <w:drawing>
          <wp:inline distT="0" distB="0" distL="0" distR="0" wp14:anchorId="775720BB" wp14:editId="648FA7DB">
            <wp:extent cx="5760720" cy="2295525"/>
            <wp:effectExtent l="0" t="0" r="11430" b="9525"/>
            <wp:docPr id="42" name="Graf 42">
              <a:extLst xmlns:a="http://schemas.openxmlformats.org/drawingml/2006/main">
                <a:ext uri="{FF2B5EF4-FFF2-40B4-BE49-F238E27FC236}">
                  <a16:creationId xmlns:a16="http://schemas.microsoft.com/office/drawing/2014/main" id="{F112B9A8-C2BB-4E2F-8113-7300B13DA80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000DB37A" w14:textId="77777777" w:rsidR="00AA3A5F" w:rsidRPr="00181315" w:rsidRDefault="00AA3A5F" w:rsidP="00181315">
      <w:pPr>
        <w:pStyle w:val="Odstavecseseznamem"/>
        <w:numPr>
          <w:ilvl w:val="0"/>
          <w:numId w:val="17"/>
        </w:numPr>
        <w:spacing w:before="60" w:after="60" w:line="240" w:lineRule="atLeast"/>
        <w:ind w:left="284" w:hanging="284"/>
        <w:rPr>
          <w:i/>
          <w:iCs/>
          <w:sz w:val="18"/>
          <w:szCs w:val="18"/>
        </w:rPr>
      </w:pPr>
      <w:r w:rsidRPr="00181315">
        <w:rPr>
          <w:i/>
          <w:iCs/>
          <w:sz w:val="18"/>
          <w:szCs w:val="18"/>
        </w:rPr>
        <w:t>% podíl z těch, kteří danou potravinu nakupují.</w:t>
      </w:r>
    </w:p>
    <w:p w14:paraId="28AAFEAD" w14:textId="77777777" w:rsidR="00AA3A5F" w:rsidRPr="00181315" w:rsidRDefault="00AA3A5F" w:rsidP="00181315">
      <w:pPr>
        <w:pStyle w:val="Odstavecseseznamem"/>
        <w:numPr>
          <w:ilvl w:val="0"/>
          <w:numId w:val="13"/>
        </w:numPr>
        <w:spacing w:after="120" w:line="240" w:lineRule="atLeast"/>
        <w:ind w:left="284" w:hanging="284"/>
        <w:contextualSpacing w:val="0"/>
        <w:rPr>
          <w:i/>
          <w:iCs/>
          <w:sz w:val="18"/>
          <w:szCs w:val="18"/>
        </w:rPr>
      </w:pPr>
      <w:r w:rsidRPr="00181315">
        <w:rPr>
          <w:i/>
          <w:iCs/>
          <w:sz w:val="18"/>
          <w:szCs w:val="18"/>
        </w:rPr>
        <w:t xml:space="preserve">Pramen: Zpracováno ÚZEI z dat </w:t>
      </w:r>
      <w:proofErr w:type="spellStart"/>
      <w:r w:rsidRPr="00181315">
        <w:rPr>
          <w:i/>
          <w:iCs/>
          <w:sz w:val="18"/>
          <w:szCs w:val="18"/>
        </w:rPr>
        <w:t>GfK</w:t>
      </w:r>
      <w:proofErr w:type="spellEnd"/>
      <w:r w:rsidRPr="00181315">
        <w:rPr>
          <w:i/>
          <w:iCs/>
          <w:sz w:val="18"/>
          <w:szCs w:val="18"/>
        </w:rPr>
        <w:t xml:space="preserve"> Czech; jedná se o poslední dostupné údaje, nová studie z roku 2019 „</w:t>
      </w:r>
      <w:proofErr w:type="spellStart"/>
      <w:r w:rsidRPr="00181315">
        <w:rPr>
          <w:i/>
          <w:iCs/>
          <w:sz w:val="18"/>
          <w:szCs w:val="18"/>
        </w:rPr>
        <w:t>Shopper</w:t>
      </w:r>
      <w:proofErr w:type="spellEnd"/>
      <w:r w:rsidRPr="00181315">
        <w:rPr>
          <w:i/>
          <w:iCs/>
          <w:sz w:val="18"/>
          <w:szCs w:val="18"/>
        </w:rPr>
        <w:t xml:space="preserve"> </w:t>
      </w:r>
      <w:proofErr w:type="spellStart"/>
      <w:r w:rsidRPr="00181315">
        <w:rPr>
          <w:i/>
          <w:iCs/>
          <w:sz w:val="18"/>
          <w:szCs w:val="18"/>
        </w:rPr>
        <w:t>GfK</w:t>
      </w:r>
      <w:proofErr w:type="spellEnd"/>
      <w:r w:rsidRPr="00181315">
        <w:rPr>
          <w:i/>
          <w:iCs/>
          <w:sz w:val="18"/>
          <w:szCs w:val="18"/>
        </w:rPr>
        <w:t>“ tyto informace nezahrnuje.</w:t>
      </w:r>
    </w:p>
    <w:p w14:paraId="42F904E5" w14:textId="7BCDE02B" w:rsidR="00AA3A5F" w:rsidRDefault="00AA3A5F" w:rsidP="00AA3A5F">
      <w:pPr>
        <w:pStyle w:val="Odstavecseseznamem"/>
        <w:spacing w:after="60" w:line="240" w:lineRule="atLeast"/>
        <w:ind w:left="567"/>
        <w:rPr>
          <w:sz w:val="18"/>
          <w:szCs w:val="18"/>
        </w:rPr>
      </w:pPr>
    </w:p>
    <w:p w14:paraId="241DD6FF" w14:textId="0F29CAB7" w:rsidR="00181315" w:rsidRDefault="00181315" w:rsidP="00AA3A5F">
      <w:pPr>
        <w:pStyle w:val="Odstavecseseznamem"/>
        <w:spacing w:after="60" w:line="240" w:lineRule="atLeast"/>
        <w:ind w:left="567"/>
        <w:rPr>
          <w:sz w:val="18"/>
          <w:szCs w:val="18"/>
        </w:rPr>
      </w:pPr>
    </w:p>
    <w:p w14:paraId="51528D6B" w14:textId="73DC1C68" w:rsidR="00181315" w:rsidRDefault="00181315" w:rsidP="00AA3A5F">
      <w:pPr>
        <w:pStyle w:val="Odstavecseseznamem"/>
        <w:spacing w:after="60" w:line="240" w:lineRule="atLeast"/>
        <w:ind w:left="567"/>
        <w:rPr>
          <w:sz w:val="18"/>
          <w:szCs w:val="18"/>
        </w:rPr>
      </w:pPr>
    </w:p>
    <w:p w14:paraId="5E3AB22C" w14:textId="0FADCABE" w:rsidR="00181315" w:rsidRDefault="00181315" w:rsidP="00AA3A5F">
      <w:pPr>
        <w:pStyle w:val="Odstavecseseznamem"/>
        <w:spacing w:after="60" w:line="240" w:lineRule="atLeast"/>
        <w:ind w:left="567"/>
        <w:rPr>
          <w:sz w:val="18"/>
          <w:szCs w:val="18"/>
        </w:rPr>
      </w:pPr>
    </w:p>
    <w:p w14:paraId="19478EA7" w14:textId="35FFA482" w:rsidR="00181315" w:rsidRDefault="00181315" w:rsidP="00AA3A5F">
      <w:pPr>
        <w:pStyle w:val="Odstavecseseznamem"/>
        <w:spacing w:after="60" w:line="240" w:lineRule="atLeast"/>
        <w:ind w:left="567"/>
        <w:rPr>
          <w:sz w:val="18"/>
          <w:szCs w:val="18"/>
        </w:rPr>
      </w:pPr>
    </w:p>
    <w:p w14:paraId="2B56D3F0" w14:textId="57E7B7C0" w:rsidR="00181315" w:rsidRDefault="00181315" w:rsidP="00AA3A5F">
      <w:pPr>
        <w:pStyle w:val="Odstavecseseznamem"/>
        <w:spacing w:after="60" w:line="240" w:lineRule="atLeast"/>
        <w:ind w:left="567"/>
        <w:rPr>
          <w:sz w:val="18"/>
          <w:szCs w:val="18"/>
        </w:rPr>
      </w:pPr>
    </w:p>
    <w:p w14:paraId="6F812E84" w14:textId="4C390E7C" w:rsidR="00181315" w:rsidRDefault="00181315" w:rsidP="00AA3A5F">
      <w:pPr>
        <w:pStyle w:val="Odstavecseseznamem"/>
        <w:spacing w:after="60" w:line="240" w:lineRule="atLeast"/>
        <w:ind w:left="567"/>
        <w:rPr>
          <w:sz w:val="18"/>
          <w:szCs w:val="18"/>
        </w:rPr>
      </w:pPr>
    </w:p>
    <w:p w14:paraId="43ED8D21" w14:textId="4F85A256" w:rsidR="00181315" w:rsidRDefault="00181315" w:rsidP="00AA3A5F">
      <w:pPr>
        <w:pStyle w:val="Odstavecseseznamem"/>
        <w:spacing w:after="60" w:line="240" w:lineRule="atLeast"/>
        <w:ind w:left="567"/>
        <w:rPr>
          <w:sz w:val="18"/>
          <w:szCs w:val="18"/>
        </w:rPr>
      </w:pPr>
    </w:p>
    <w:p w14:paraId="54B1ABC3" w14:textId="4C430EF9" w:rsidR="00181315" w:rsidRDefault="00181315" w:rsidP="00AA3A5F">
      <w:pPr>
        <w:pStyle w:val="Odstavecseseznamem"/>
        <w:spacing w:after="60" w:line="240" w:lineRule="atLeast"/>
        <w:ind w:left="567"/>
        <w:rPr>
          <w:sz w:val="18"/>
          <w:szCs w:val="18"/>
        </w:rPr>
      </w:pPr>
    </w:p>
    <w:p w14:paraId="43A24BAF" w14:textId="6E877BE7" w:rsidR="00181315" w:rsidRDefault="00181315" w:rsidP="00AA3A5F">
      <w:pPr>
        <w:pStyle w:val="Odstavecseseznamem"/>
        <w:spacing w:after="60" w:line="240" w:lineRule="atLeast"/>
        <w:ind w:left="567"/>
        <w:rPr>
          <w:sz w:val="18"/>
          <w:szCs w:val="18"/>
        </w:rPr>
      </w:pPr>
    </w:p>
    <w:p w14:paraId="5EA940D5" w14:textId="49ABFDD8" w:rsidR="00181315" w:rsidRDefault="00181315" w:rsidP="00AA3A5F">
      <w:pPr>
        <w:pStyle w:val="Odstavecseseznamem"/>
        <w:spacing w:after="60" w:line="240" w:lineRule="atLeast"/>
        <w:ind w:left="567"/>
        <w:rPr>
          <w:sz w:val="18"/>
          <w:szCs w:val="18"/>
        </w:rPr>
      </w:pPr>
    </w:p>
    <w:p w14:paraId="663615B1" w14:textId="482A0AB7" w:rsidR="00181315" w:rsidRDefault="00181315" w:rsidP="00AA3A5F">
      <w:pPr>
        <w:pStyle w:val="Odstavecseseznamem"/>
        <w:spacing w:after="60" w:line="240" w:lineRule="atLeast"/>
        <w:ind w:left="567"/>
        <w:rPr>
          <w:sz w:val="18"/>
          <w:szCs w:val="18"/>
        </w:rPr>
      </w:pPr>
    </w:p>
    <w:p w14:paraId="0FE9E301" w14:textId="4CAA96CE" w:rsidR="00181315" w:rsidRDefault="00181315" w:rsidP="00AA3A5F">
      <w:pPr>
        <w:pStyle w:val="Odstavecseseznamem"/>
        <w:spacing w:after="60" w:line="240" w:lineRule="atLeast"/>
        <w:ind w:left="567"/>
        <w:rPr>
          <w:sz w:val="18"/>
          <w:szCs w:val="18"/>
        </w:rPr>
      </w:pPr>
    </w:p>
    <w:p w14:paraId="47683C72" w14:textId="50789497" w:rsidR="00181315" w:rsidRDefault="00181315" w:rsidP="00AA3A5F">
      <w:pPr>
        <w:pStyle w:val="Odstavecseseznamem"/>
        <w:spacing w:after="60" w:line="240" w:lineRule="atLeast"/>
        <w:ind w:left="567"/>
        <w:rPr>
          <w:sz w:val="18"/>
          <w:szCs w:val="18"/>
        </w:rPr>
      </w:pPr>
    </w:p>
    <w:p w14:paraId="3CE95459" w14:textId="77777777" w:rsidR="00181315" w:rsidRPr="00B25A22" w:rsidRDefault="00181315" w:rsidP="00AA3A5F">
      <w:pPr>
        <w:pStyle w:val="Odstavecseseznamem"/>
        <w:spacing w:after="60" w:line="240" w:lineRule="atLeast"/>
        <w:ind w:left="567"/>
        <w:rPr>
          <w:sz w:val="18"/>
          <w:szCs w:val="18"/>
        </w:rPr>
      </w:pPr>
    </w:p>
    <w:p w14:paraId="667D96E5" w14:textId="1034A08E" w:rsidR="00AA3A5F" w:rsidRPr="00181315" w:rsidRDefault="00AA3A5F" w:rsidP="00181315">
      <w:pPr>
        <w:pStyle w:val="UZEINadpis4st"/>
      </w:pPr>
      <w:bookmarkStart w:id="106" w:name="_Toc12598444"/>
      <w:bookmarkStart w:id="107" w:name="_Toc81743844"/>
      <w:r w:rsidRPr="00B25A22">
        <w:lastRenderedPageBreak/>
        <w:t xml:space="preserve">Příloha </w:t>
      </w:r>
      <w:bookmarkStart w:id="108" w:name="_Toc12598445"/>
      <w:bookmarkEnd w:id="106"/>
      <w:r w:rsidR="00181315">
        <w:t xml:space="preserve">5 </w:t>
      </w:r>
      <w:r w:rsidRPr="00B25A22">
        <w:t>Porovnání CZV, CPV a SC v odvětví mléka, vepřového a drůbežího masa.</w:t>
      </w:r>
      <w:bookmarkEnd w:id="107"/>
      <w:bookmarkEnd w:id="108"/>
    </w:p>
    <w:p w14:paraId="7B12AE0C" w14:textId="77777777" w:rsidR="00AA3A5F" w:rsidRPr="00181315" w:rsidRDefault="00AA3A5F" w:rsidP="00AA3A5F">
      <w:pPr>
        <w:rPr>
          <w:rFonts w:cs="Times New Roman"/>
          <w:b/>
          <w:sz w:val="20"/>
          <w:szCs w:val="20"/>
          <w:lang w:val="cs-CZ"/>
        </w:rPr>
      </w:pPr>
      <w:r w:rsidRPr="00181315">
        <w:rPr>
          <w:rFonts w:cs="Times New Roman"/>
          <w:b/>
          <w:sz w:val="20"/>
          <w:szCs w:val="20"/>
          <w:lang w:val="cs-CZ"/>
        </w:rPr>
        <w:t xml:space="preserve">Graf P 5. 1 Vývoj cen mléka kravského I a Q </w:t>
      </w:r>
      <w:proofErr w:type="spellStart"/>
      <w:r w:rsidRPr="00181315">
        <w:rPr>
          <w:rFonts w:cs="Times New Roman"/>
          <w:b/>
          <w:sz w:val="20"/>
          <w:szCs w:val="20"/>
          <w:lang w:val="cs-CZ"/>
        </w:rPr>
        <w:t>tř.j</w:t>
      </w:r>
      <w:proofErr w:type="spellEnd"/>
      <w:r w:rsidRPr="00181315">
        <w:rPr>
          <w:rFonts w:cs="Times New Roman"/>
          <w:b/>
          <w:sz w:val="20"/>
          <w:szCs w:val="20"/>
          <w:lang w:val="cs-CZ"/>
        </w:rPr>
        <w:t xml:space="preserve">., Kč/ </w:t>
      </w:r>
      <w:proofErr w:type="spellStart"/>
      <w:proofErr w:type="gramStart"/>
      <w:r w:rsidRPr="00181315">
        <w:rPr>
          <w:rFonts w:cs="Times New Roman"/>
          <w:b/>
          <w:sz w:val="20"/>
          <w:szCs w:val="20"/>
          <w:lang w:val="cs-CZ"/>
        </w:rPr>
        <w:t>tis.l</w:t>
      </w:r>
      <w:proofErr w:type="spellEnd"/>
      <w:proofErr w:type="gramEnd"/>
      <w:r w:rsidRPr="00181315">
        <w:rPr>
          <w:rFonts w:cs="Times New Roman"/>
          <w:b/>
          <w:sz w:val="20"/>
          <w:szCs w:val="20"/>
          <w:lang w:val="cs-CZ"/>
        </w:rPr>
        <w:t xml:space="preserve"> (CZV), mléka polotučného, Kč/l (CPV),  mléka polotučného pasterovaného, Kč/l (SC)</w:t>
      </w:r>
    </w:p>
    <w:p w14:paraId="16AC00EB" w14:textId="77777777" w:rsidR="00AA3A5F" w:rsidRPr="00B25A22" w:rsidRDefault="00AA3A5F" w:rsidP="00AA3A5F">
      <w:pPr>
        <w:rPr>
          <w:rFonts w:cs="Times New Roman"/>
          <w:b/>
          <w:sz w:val="22"/>
          <w:lang w:val="cs-CZ"/>
        </w:rPr>
      </w:pPr>
      <w:r w:rsidRPr="00B25A22">
        <w:rPr>
          <w:rFonts w:cs="Times New Roman"/>
          <w:noProof/>
          <w:lang w:val="cs-CZ" w:eastAsia="cs-CZ"/>
        </w:rPr>
        <w:drawing>
          <wp:inline distT="0" distB="0" distL="0" distR="0" wp14:anchorId="76277B8F" wp14:editId="63BC1894">
            <wp:extent cx="5760720" cy="2857500"/>
            <wp:effectExtent l="0" t="0" r="11430" b="0"/>
            <wp:docPr id="16" name="Graf 16">
              <a:extLst xmlns:a="http://schemas.openxmlformats.org/drawingml/2006/main">
                <a:ext uri="{FF2B5EF4-FFF2-40B4-BE49-F238E27FC236}">
                  <a16:creationId xmlns:a16="http://schemas.microsoft.com/office/drawing/2014/main" id="{B15F4D54-C97F-462A-8311-361A8B44E0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5FABE2E7" w14:textId="77777777" w:rsidR="00AA3A5F" w:rsidRPr="00B25A22" w:rsidRDefault="00AA3A5F" w:rsidP="00181315">
      <w:pPr>
        <w:pStyle w:val="UZEIZdroj"/>
      </w:pPr>
      <w:r w:rsidRPr="00B25A22">
        <w:t>Pramen: ÚZEI dle dat ČSÚ</w:t>
      </w:r>
    </w:p>
    <w:p w14:paraId="602CA636" w14:textId="77777777" w:rsidR="00AA3A5F" w:rsidRPr="00B25A22" w:rsidRDefault="00AA3A5F" w:rsidP="00AA3A5F">
      <w:pPr>
        <w:rPr>
          <w:rFonts w:cs="Times New Roman"/>
          <w:b/>
          <w:sz w:val="22"/>
          <w:lang w:val="cs-CZ"/>
        </w:rPr>
      </w:pPr>
    </w:p>
    <w:p w14:paraId="2BF14DD8" w14:textId="77777777" w:rsidR="00AA3A5F" w:rsidRPr="00181315" w:rsidRDefault="00AA3A5F" w:rsidP="00AA3A5F">
      <w:pPr>
        <w:rPr>
          <w:rFonts w:cs="Times New Roman"/>
          <w:b/>
          <w:sz w:val="20"/>
          <w:szCs w:val="20"/>
          <w:lang w:val="cs-CZ"/>
        </w:rPr>
      </w:pPr>
      <w:r w:rsidRPr="00181315">
        <w:rPr>
          <w:rFonts w:cs="Times New Roman"/>
          <w:b/>
          <w:sz w:val="20"/>
          <w:szCs w:val="20"/>
          <w:lang w:val="cs-CZ"/>
        </w:rPr>
        <w:t xml:space="preserve">Graf P 5. 2 Vývoj cen prasat jatečných </w:t>
      </w:r>
      <w:proofErr w:type="spellStart"/>
      <w:r w:rsidRPr="00181315">
        <w:rPr>
          <w:rFonts w:cs="Times New Roman"/>
          <w:b/>
          <w:sz w:val="20"/>
          <w:szCs w:val="20"/>
          <w:lang w:val="cs-CZ"/>
        </w:rPr>
        <w:t>tř.j</w:t>
      </w:r>
      <w:proofErr w:type="spellEnd"/>
      <w:r w:rsidRPr="00181315">
        <w:rPr>
          <w:rFonts w:cs="Times New Roman"/>
          <w:b/>
          <w:sz w:val="20"/>
          <w:szCs w:val="20"/>
          <w:lang w:val="cs-CZ"/>
        </w:rPr>
        <w:t>. SEU v JUT, Kč/t (CZV), vepřové kýty, Kč/kg (CPV), vepřové kýty, Kč/kg (SC)</w:t>
      </w:r>
    </w:p>
    <w:p w14:paraId="63442458" w14:textId="77777777" w:rsidR="00AA3A5F" w:rsidRPr="00B25A22" w:rsidRDefault="00AA3A5F" w:rsidP="00AA3A5F">
      <w:pPr>
        <w:rPr>
          <w:rFonts w:cs="Times New Roman"/>
          <w:b/>
          <w:sz w:val="22"/>
          <w:lang w:val="cs-CZ"/>
        </w:rPr>
      </w:pPr>
      <w:r w:rsidRPr="00B25A22">
        <w:rPr>
          <w:rFonts w:cs="Times New Roman"/>
          <w:noProof/>
          <w:lang w:val="cs-CZ" w:eastAsia="cs-CZ"/>
        </w:rPr>
        <w:drawing>
          <wp:inline distT="0" distB="0" distL="0" distR="0" wp14:anchorId="4207DAE1" wp14:editId="4264BFE8">
            <wp:extent cx="5760720" cy="3053080"/>
            <wp:effectExtent l="0" t="0" r="11430" b="13970"/>
            <wp:docPr id="23" name="Graf 23">
              <a:extLst xmlns:a="http://schemas.openxmlformats.org/drawingml/2006/main">
                <a:ext uri="{FF2B5EF4-FFF2-40B4-BE49-F238E27FC236}">
                  <a16:creationId xmlns:a16="http://schemas.microsoft.com/office/drawing/2014/main" id="{B4C5D898-8609-4DD8-ABDA-3F8EF45DA0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48332BBF" w14:textId="77777777" w:rsidR="00AA3A5F" w:rsidRPr="00B25A22" w:rsidRDefault="00AA3A5F" w:rsidP="00181315">
      <w:pPr>
        <w:pStyle w:val="UZEIZdroj"/>
      </w:pPr>
      <w:r w:rsidRPr="00B25A22">
        <w:t>Pramen: ÚZEI dle dat ČSÚ</w:t>
      </w:r>
    </w:p>
    <w:p w14:paraId="6E2207D0" w14:textId="7D930FAC" w:rsidR="00AA3A5F" w:rsidRDefault="00AA3A5F" w:rsidP="00AA3A5F">
      <w:pPr>
        <w:pStyle w:val="Default"/>
        <w:spacing w:before="60" w:after="120" w:line="300" w:lineRule="atLeast"/>
        <w:ind w:left="720"/>
        <w:jc w:val="both"/>
        <w:rPr>
          <w:b/>
          <w:sz w:val="20"/>
          <w:szCs w:val="20"/>
        </w:rPr>
      </w:pPr>
    </w:p>
    <w:p w14:paraId="0DCD3DA9" w14:textId="15C33FC2" w:rsidR="00181315" w:rsidRDefault="00181315" w:rsidP="00AA3A5F">
      <w:pPr>
        <w:pStyle w:val="Default"/>
        <w:spacing w:before="60" w:after="120" w:line="300" w:lineRule="atLeast"/>
        <w:ind w:left="720"/>
        <w:jc w:val="both"/>
        <w:rPr>
          <w:b/>
          <w:sz w:val="20"/>
          <w:szCs w:val="20"/>
        </w:rPr>
      </w:pPr>
    </w:p>
    <w:p w14:paraId="7E71B443" w14:textId="6B1D76C8" w:rsidR="00181315" w:rsidRDefault="00181315" w:rsidP="00AA3A5F">
      <w:pPr>
        <w:pStyle w:val="Default"/>
        <w:spacing w:before="60" w:after="120" w:line="300" w:lineRule="atLeast"/>
        <w:ind w:left="720"/>
        <w:jc w:val="both"/>
        <w:rPr>
          <w:b/>
          <w:sz w:val="20"/>
          <w:szCs w:val="20"/>
        </w:rPr>
      </w:pPr>
    </w:p>
    <w:p w14:paraId="6462CE04" w14:textId="77777777" w:rsidR="00181315" w:rsidRPr="00B25A22" w:rsidRDefault="00181315" w:rsidP="00AA3A5F">
      <w:pPr>
        <w:pStyle w:val="Default"/>
        <w:spacing w:before="60" w:after="120" w:line="300" w:lineRule="atLeast"/>
        <w:ind w:left="720"/>
        <w:jc w:val="both"/>
        <w:rPr>
          <w:b/>
          <w:sz w:val="20"/>
          <w:szCs w:val="20"/>
        </w:rPr>
      </w:pPr>
    </w:p>
    <w:p w14:paraId="2A92B711" w14:textId="77777777" w:rsidR="00AA3A5F" w:rsidRPr="00B25A22" w:rsidRDefault="00AA3A5F" w:rsidP="00AA3A5F">
      <w:pPr>
        <w:pStyle w:val="Default"/>
        <w:spacing w:before="60" w:after="120" w:line="300" w:lineRule="atLeast"/>
        <w:jc w:val="both"/>
        <w:rPr>
          <w:b/>
          <w:sz w:val="20"/>
          <w:szCs w:val="20"/>
        </w:rPr>
      </w:pPr>
      <w:r w:rsidRPr="00B25A22">
        <w:rPr>
          <w:b/>
          <w:sz w:val="20"/>
          <w:szCs w:val="20"/>
        </w:rPr>
        <w:lastRenderedPageBreak/>
        <w:t>Graf P 5. 3 Vývoj cen kuřat jatečných, Kč/t (CZV), kuřat kuchaných, Kč/kg (CPV), kuřat kuchaných, Kč/kg (SC)</w:t>
      </w:r>
    </w:p>
    <w:p w14:paraId="5985CE6E" w14:textId="77777777" w:rsidR="00AA3A5F" w:rsidRPr="00B25A22" w:rsidRDefault="00AA3A5F" w:rsidP="00AA3A5F">
      <w:pPr>
        <w:pStyle w:val="Default"/>
        <w:spacing w:before="60" w:after="120" w:line="300" w:lineRule="atLeast"/>
        <w:jc w:val="both"/>
        <w:rPr>
          <w:b/>
          <w:sz w:val="20"/>
          <w:szCs w:val="20"/>
        </w:rPr>
      </w:pPr>
      <w:r w:rsidRPr="00B25A22">
        <w:rPr>
          <w:noProof/>
          <w:lang w:eastAsia="cs-CZ"/>
        </w:rPr>
        <w:drawing>
          <wp:inline distT="0" distB="0" distL="0" distR="0" wp14:anchorId="2E22FCC7" wp14:editId="0F481B70">
            <wp:extent cx="5760720" cy="3053080"/>
            <wp:effectExtent l="0" t="0" r="11430" b="13970"/>
            <wp:docPr id="1" name="Graf 1">
              <a:extLst xmlns:a="http://schemas.openxmlformats.org/drawingml/2006/main">
                <a:ext uri="{FF2B5EF4-FFF2-40B4-BE49-F238E27FC236}">
                  <a16:creationId xmlns:a16="http://schemas.microsoft.com/office/drawing/2014/main" id="{B4C5D898-8609-4DD8-ABDA-3F8EF45DA0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7D4D4832" w14:textId="77777777" w:rsidR="00AA3A5F" w:rsidRPr="00B25A22" w:rsidRDefault="00AA3A5F" w:rsidP="00181315">
      <w:pPr>
        <w:pStyle w:val="UZEIZdroj"/>
      </w:pPr>
      <w:r w:rsidRPr="00B25A22">
        <w:t>Pramen: ÚZEI dle dat ČSÚ</w:t>
      </w:r>
    </w:p>
    <w:p w14:paraId="18D79822" w14:textId="77777777" w:rsidR="00AA3A5F" w:rsidRPr="00B25A22" w:rsidRDefault="00AA3A5F" w:rsidP="00181315">
      <w:pPr>
        <w:pStyle w:val="UZEINadpis4st"/>
      </w:pPr>
    </w:p>
    <w:p w14:paraId="4724A563" w14:textId="2019934C" w:rsidR="00AA3A5F" w:rsidRPr="00181315" w:rsidRDefault="00AA3A5F" w:rsidP="00181315">
      <w:pPr>
        <w:pStyle w:val="UZEINadpis4st"/>
      </w:pPr>
      <w:bookmarkStart w:id="109" w:name="_Toc12598446"/>
      <w:bookmarkStart w:id="110" w:name="_Toc81743845"/>
      <w:r w:rsidRPr="00B25A22">
        <w:t>Příloha 6</w:t>
      </w:r>
      <w:bookmarkStart w:id="111" w:name="_Toc12598447"/>
      <w:bookmarkEnd w:id="109"/>
      <w:r w:rsidR="00E57A20">
        <w:t xml:space="preserve"> </w:t>
      </w:r>
      <w:r w:rsidRPr="00B25A22">
        <w:t>Formáty prodeje výrobců s regionální značkou ARZ</w:t>
      </w:r>
      <w:bookmarkEnd w:id="110"/>
      <w:bookmarkEnd w:id="111"/>
      <w:r w:rsidRPr="00B25A22">
        <w:t xml:space="preserve"> </w:t>
      </w:r>
    </w:p>
    <w:p w14:paraId="63E9A29A" w14:textId="77777777" w:rsidR="00AA3A5F" w:rsidRPr="00181315" w:rsidRDefault="00AA3A5F" w:rsidP="00AA3A5F">
      <w:pPr>
        <w:pStyle w:val="Odstavecseseznamem"/>
        <w:spacing w:before="240"/>
        <w:ind w:left="0"/>
        <w:contextualSpacing w:val="0"/>
        <w:rPr>
          <w:b/>
          <w:sz w:val="20"/>
          <w:szCs w:val="20"/>
        </w:rPr>
      </w:pPr>
      <w:r w:rsidRPr="00181315">
        <w:rPr>
          <w:b/>
          <w:sz w:val="20"/>
          <w:szCs w:val="20"/>
        </w:rPr>
        <w:t>Graf P 6. 1 Formáty prodeje výrobců s regionální značkou ARZ (n = 160)</w:t>
      </w:r>
    </w:p>
    <w:p w14:paraId="150FCD68" w14:textId="77777777" w:rsidR="00AA3A5F" w:rsidRPr="00B25A22" w:rsidRDefault="00AA3A5F" w:rsidP="00AA3A5F">
      <w:pPr>
        <w:spacing w:after="60"/>
        <w:rPr>
          <w:rFonts w:eastAsia="Calibri" w:cs="Times New Roman"/>
          <w:sz w:val="22"/>
          <w:lang w:val="cs-CZ"/>
        </w:rPr>
      </w:pPr>
      <w:r w:rsidRPr="00B25A22">
        <w:rPr>
          <w:rFonts w:cs="Times New Roman"/>
          <w:noProof/>
          <w:lang w:val="cs-CZ" w:eastAsia="cs-CZ"/>
        </w:rPr>
        <w:drawing>
          <wp:inline distT="0" distB="0" distL="0" distR="0" wp14:anchorId="5C51538E" wp14:editId="36FF4D72">
            <wp:extent cx="5788325" cy="2743200"/>
            <wp:effectExtent l="0" t="0" r="3175" b="0"/>
            <wp:docPr id="47" name="Graf 47">
              <a:extLst xmlns:a="http://schemas.openxmlformats.org/drawingml/2006/main">
                <a:ext uri="{FF2B5EF4-FFF2-40B4-BE49-F238E27FC236}">
                  <a16:creationId xmlns:a16="http://schemas.microsoft.com/office/drawing/2014/main" id="{51358147-92BA-474D-992F-6A5045ECDF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1A47D1FF" w14:textId="77777777" w:rsidR="00AA3A5F" w:rsidRPr="00B25A22" w:rsidRDefault="00AA3A5F" w:rsidP="00181315">
      <w:pPr>
        <w:pStyle w:val="UZEIZdroj"/>
      </w:pPr>
      <w:r w:rsidRPr="00B25A22">
        <w:t>Pramen: Výzkum ÚZEI a Technologického centra AV ČR</w:t>
      </w:r>
    </w:p>
    <w:p w14:paraId="504FD47D" w14:textId="77777777" w:rsidR="00AA3A5F" w:rsidRPr="00B25A22" w:rsidRDefault="00AA3A5F" w:rsidP="00AA3A5F">
      <w:pPr>
        <w:rPr>
          <w:rFonts w:cs="Times New Roman"/>
          <w:lang w:val="cs-CZ"/>
        </w:rPr>
      </w:pPr>
    </w:p>
    <w:bookmarkEnd w:id="0"/>
    <w:p w14:paraId="766E3D9E" w14:textId="75709BED" w:rsidR="00C91401" w:rsidRPr="00B25A22" w:rsidRDefault="00C91401" w:rsidP="00AA3A5F">
      <w:pPr>
        <w:rPr>
          <w:rFonts w:cs="Times New Roman"/>
          <w:lang w:val="cs-CZ"/>
        </w:rPr>
      </w:pPr>
    </w:p>
    <w:sectPr w:rsidR="00C91401" w:rsidRPr="00B25A22">
      <w:headerReference w:type="even" r:id="rId53"/>
      <w:headerReference w:type="default" r:id="rId54"/>
      <w:footerReference w:type="default" r:id="rId55"/>
      <w:headerReference w:type="first" r:id="rId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42E6C" w14:textId="77777777" w:rsidR="007A68D5" w:rsidRDefault="007A68D5" w:rsidP="00B87E14">
      <w:r>
        <w:separator/>
      </w:r>
    </w:p>
  </w:endnote>
  <w:endnote w:type="continuationSeparator" w:id="0">
    <w:p w14:paraId="6B8D6804" w14:textId="77777777" w:rsidR="007A68D5" w:rsidRDefault="007A68D5" w:rsidP="00B87E14">
      <w:r>
        <w:continuationSeparator/>
      </w:r>
    </w:p>
  </w:endnote>
  <w:endnote w:type="continuationNotice" w:id="1">
    <w:p w14:paraId="60738031" w14:textId="77777777" w:rsidR="007A68D5" w:rsidRDefault="007A6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Základní tex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F161F" w14:textId="77777777" w:rsidR="007A68D5" w:rsidRDefault="007A68D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7728612"/>
      <w:docPartObj>
        <w:docPartGallery w:val="Page Numbers (Bottom of Page)"/>
        <w:docPartUnique/>
      </w:docPartObj>
    </w:sdtPr>
    <w:sdtEndPr/>
    <w:sdtContent>
      <w:p w14:paraId="2FED14A0" w14:textId="254980E6" w:rsidR="007A68D5" w:rsidRDefault="007A68D5">
        <w:pPr>
          <w:pStyle w:val="Zpat"/>
          <w:jc w:val="center"/>
        </w:pPr>
        <w:r>
          <w:fldChar w:fldCharType="begin"/>
        </w:r>
        <w:r>
          <w:instrText>PAGE   \* MERGEFORMAT</w:instrText>
        </w:r>
        <w:r>
          <w:fldChar w:fldCharType="separate"/>
        </w:r>
        <w:r w:rsidR="00D23064">
          <w:rPr>
            <w:noProof/>
          </w:rPr>
          <w:t>28</w:t>
        </w:r>
        <w:r>
          <w:rPr>
            <w:noProof/>
          </w:rPr>
          <w:fldChar w:fldCharType="end"/>
        </w:r>
      </w:p>
    </w:sdtContent>
  </w:sdt>
  <w:p w14:paraId="353D08AE" w14:textId="77777777" w:rsidR="007A68D5" w:rsidRDefault="007A68D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6501090"/>
      <w:docPartObj>
        <w:docPartGallery w:val="Page Numbers (Bottom of Page)"/>
        <w:docPartUnique/>
      </w:docPartObj>
    </w:sdtPr>
    <w:sdtEndPr/>
    <w:sdtContent>
      <w:p w14:paraId="060DAC95" w14:textId="674059A9" w:rsidR="007A68D5" w:rsidRDefault="007A68D5">
        <w:pPr>
          <w:pStyle w:val="Zpat"/>
          <w:jc w:val="center"/>
        </w:pPr>
        <w:r>
          <w:fldChar w:fldCharType="begin"/>
        </w:r>
        <w:r>
          <w:instrText>PAGE   \* MERGEFORMAT</w:instrText>
        </w:r>
        <w:r>
          <w:fldChar w:fldCharType="separate"/>
        </w:r>
        <w:r w:rsidR="00D23064">
          <w:rPr>
            <w:noProof/>
          </w:rPr>
          <w:t>31</w:t>
        </w:r>
        <w:r>
          <w:fldChar w:fldCharType="end"/>
        </w:r>
      </w:p>
    </w:sdtContent>
  </w:sdt>
  <w:p w14:paraId="55A273F2" w14:textId="77777777" w:rsidR="007A68D5" w:rsidRDefault="007A68D5">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1041011"/>
      <w:docPartObj>
        <w:docPartGallery w:val="Page Numbers (Bottom of Page)"/>
        <w:docPartUnique/>
      </w:docPartObj>
    </w:sdtPr>
    <w:sdtEndPr/>
    <w:sdtContent>
      <w:p w14:paraId="7B35F219" w14:textId="69DF2DDB" w:rsidR="007A68D5" w:rsidRDefault="007A68D5">
        <w:pPr>
          <w:pStyle w:val="Zpat"/>
          <w:jc w:val="center"/>
        </w:pPr>
        <w:r>
          <w:fldChar w:fldCharType="begin"/>
        </w:r>
        <w:r>
          <w:instrText>PAGE   \* MERGEFORMAT</w:instrText>
        </w:r>
        <w:r>
          <w:fldChar w:fldCharType="separate"/>
        </w:r>
        <w:r w:rsidR="00D23064">
          <w:rPr>
            <w:noProof/>
          </w:rPr>
          <w:t>30</w:t>
        </w:r>
        <w:r>
          <w:rPr>
            <w:noProof/>
          </w:rPr>
          <w:fldChar w:fldCharType="end"/>
        </w:r>
      </w:p>
    </w:sdtContent>
  </w:sdt>
  <w:p w14:paraId="5F95A131" w14:textId="77777777" w:rsidR="007A68D5" w:rsidRDefault="007A68D5">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363117"/>
      <w:docPartObj>
        <w:docPartGallery w:val="Page Numbers (Bottom of Page)"/>
        <w:docPartUnique/>
      </w:docPartObj>
    </w:sdtPr>
    <w:sdtEndPr/>
    <w:sdtContent>
      <w:p w14:paraId="073F8E19" w14:textId="218313EE" w:rsidR="007A68D5" w:rsidRDefault="007A68D5">
        <w:pPr>
          <w:pStyle w:val="Zpat"/>
          <w:jc w:val="center"/>
        </w:pPr>
        <w:r>
          <w:fldChar w:fldCharType="begin"/>
        </w:r>
        <w:r>
          <w:instrText>PAGE   \* MERGEFORMAT</w:instrText>
        </w:r>
        <w:r>
          <w:fldChar w:fldCharType="separate"/>
        </w:r>
        <w:r w:rsidR="00D23064">
          <w:rPr>
            <w:noProof/>
          </w:rPr>
          <w:t>32</w:t>
        </w:r>
        <w:r>
          <w:rPr>
            <w:noProof/>
          </w:rPr>
          <w:fldChar w:fldCharType="end"/>
        </w:r>
      </w:p>
    </w:sdtContent>
  </w:sdt>
  <w:p w14:paraId="2C3AF7C6" w14:textId="77777777" w:rsidR="007A68D5" w:rsidRDefault="007A68D5">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241669"/>
      <w:docPartObj>
        <w:docPartGallery w:val="Page Numbers (Bottom of Page)"/>
        <w:docPartUnique/>
      </w:docPartObj>
    </w:sdtPr>
    <w:sdtEndPr/>
    <w:sdtContent>
      <w:p w14:paraId="6670FB55" w14:textId="008958EE" w:rsidR="007A68D5" w:rsidRDefault="007A68D5">
        <w:pPr>
          <w:pStyle w:val="Zpat"/>
          <w:jc w:val="center"/>
        </w:pPr>
        <w:r>
          <w:fldChar w:fldCharType="begin"/>
        </w:r>
        <w:r>
          <w:instrText>PAGE   \* MERGEFORMAT</w:instrText>
        </w:r>
        <w:r>
          <w:fldChar w:fldCharType="separate"/>
        </w:r>
        <w:r w:rsidR="00D23064" w:rsidRPr="00D23064">
          <w:rPr>
            <w:noProof/>
            <w:lang w:val="cs-CZ"/>
          </w:rPr>
          <w:t>74</w:t>
        </w:r>
        <w:r>
          <w:fldChar w:fldCharType="end"/>
        </w:r>
      </w:p>
    </w:sdtContent>
  </w:sdt>
  <w:p w14:paraId="1766D528" w14:textId="77777777" w:rsidR="007A68D5" w:rsidRDefault="007A68D5">
    <w:pPr>
      <w:pStyle w:val="Zpat"/>
    </w:pPr>
  </w:p>
  <w:p w14:paraId="7A070519" w14:textId="77777777" w:rsidR="007A68D5" w:rsidRDefault="007A68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6AB52" w14:textId="77777777" w:rsidR="007A68D5" w:rsidRDefault="007A68D5" w:rsidP="00B87E14">
      <w:r>
        <w:separator/>
      </w:r>
    </w:p>
  </w:footnote>
  <w:footnote w:type="continuationSeparator" w:id="0">
    <w:p w14:paraId="1CDD0C39" w14:textId="77777777" w:rsidR="007A68D5" w:rsidRDefault="007A68D5" w:rsidP="00B87E14">
      <w:r>
        <w:continuationSeparator/>
      </w:r>
    </w:p>
  </w:footnote>
  <w:footnote w:type="continuationNotice" w:id="1">
    <w:p w14:paraId="68D9E9B3" w14:textId="77777777" w:rsidR="007A68D5" w:rsidRDefault="007A68D5"/>
  </w:footnote>
  <w:footnote w:id="2">
    <w:p w14:paraId="037D9A22" w14:textId="77777777" w:rsidR="007A68D5" w:rsidRPr="00142E65" w:rsidRDefault="007A68D5" w:rsidP="00AA3A5F">
      <w:pPr>
        <w:pStyle w:val="Textpoznpodarou"/>
        <w:rPr>
          <w:rFonts w:asciiTheme="minorHAnsi" w:hAnsiTheme="minorHAnsi"/>
          <w:i/>
          <w:sz w:val="18"/>
          <w:szCs w:val="18"/>
        </w:rPr>
      </w:pPr>
      <w:r>
        <w:rPr>
          <w:rStyle w:val="Znakapoznpodarou"/>
        </w:rPr>
        <w:footnoteRef/>
      </w:r>
      <w:r>
        <w:t xml:space="preserve"> </w:t>
      </w:r>
      <w:r w:rsidRPr="00142E65">
        <w:rPr>
          <w:rFonts w:asciiTheme="minorHAnsi" w:hAnsiTheme="minorHAnsi"/>
          <w:sz w:val="18"/>
          <w:szCs w:val="18"/>
        </w:rPr>
        <w:t xml:space="preserve">Návrh textu směrnice </w:t>
      </w:r>
      <w:r w:rsidRPr="006E4D79">
        <w:rPr>
          <w:rFonts w:asciiTheme="minorHAnsi" w:eastAsia="Times New Roman" w:hAnsiTheme="minorHAnsi"/>
          <w:sz w:val="18"/>
          <w:szCs w:val="18"/>
        </w:rPr>
        <w:t>Evropského parlamentu a Rady o nekalých obchodních praktikách mezi podniky v potravinovém řetězci</w:t>
      </w:r>
      <w:r w:rsidRPr="00142E65">
        <w:rPr>
          <w:rFonts w:asciiTheme="minorHAnsi" w:hAnsiTheme="minorHAnsi"/>
          <w:sz w:val="18"/>
          <w:szCs w:val="18"/>
        </w:rPr>
        <w:t xml:space="preserve"> </w:t>
      </w:r>
      <w:r w:rsidRPr="006E4D79">
        <w:rPr>
          <w:rFonts w:asciiTheme="minorHAnsi" w:eastAsia="Times New Roman" w:hAnsiTheme="minorHAnsi"/>
          <w:sz w:val="18"/>
          <w:szCs w:val="18"/>
        </w:rPr>
        <w:t xml:space="preserve">(COM(2018)0173 – C8-0139/2018 – 2018/0082(COD)) </w:t>
      </w:r>
      <w:r w:rsidRPr="00142E65">
        <w:rPr>
          <w:rFonts w:asciiTheme="minorHAnsi" w:hAnsiTheme="minorHAnsi"/>
          <w:sz w:val="18"/>
          <w:szCs w:val="18"/>
        </w:rPr>
        <w:t xml:space="preserve"> </w:t>
      </w:r>
      <w:r w:rsidRPr="00142E65">
        <w:rPr>
          <w:rFonts w:asciiTheme="minorHAnsi" w:eastAsia="Times New Roman" w:hAnsiTheme="minorHAnsi"/>
          <w:sz w:val="18"/>
          <w:szCs w:val="18"/>
        </w:rPr>
        <w:t>Výbor pro zemědělství a rozvoj venkova</w:t>
      </w:r>
      <w:r w:rsidRPr="00142E65">
        <w:rPr>
          <w:rFonts w:asciiTheme="minorHAnsi" w:hAnsiTheme="minorHAnsi"/>
          <w:sz w:val="18"/>
          <w:szCs w:val="18"/>
        </w:rPr>
        <w:t>.(Legislativa v přípravě.)</w:t>
      </w:r>
    </w:p>
  </w:footnote>
  <w:footnote w:id="3">
    <w:p w14:paraId="048ECB51" w14:textId="77777777" w:rsidR="007A68D5" w:rsidRPr="000703B9" w:rsidRDefault="007A68D5" w:rsidP="00AA3A5F">
      <w:pPr>
        <w:spacing w:line="240" w:lineRule="atLeast"/>
        <w:rPr>
          <w:rFonts w:cs="Times New Roman"/>
          <w:i/>
          <w:iCs/>
          <w:lang w:val="cs-CZ"/>
        </w:rPr>
      </w:pPr>
      <w:r w:rsidRPr="00696A4A">
        <w:rPr>
          <w:rStyle w:val="Znakapoznpodarou"/>
          <w:i/>
          <w:iCs/>
        </w:rPr>
        <w:footnoteRef/>
      </w:r>
      <w:r w:rsidRPr="000703B9">
        <w:rPr>
          <w:rFonts w:cs="Times New Roman"/>
          <w:i/>
          <w:iCs/>
          <w:lang w:val="cs-CZ"/>
        </w:rPr>
        <w:t xml:space="preserve"> </w:t>
      </w:r>
      <w:r w:rsidRPr="000703B9">
        <w:rPr>
          <w:rFonts w:eastAsia="Calibri" w:cs="Times New Roman"/>
          <w:i/>
          <w:iCs/>
          <w:sz w:val="18"/>
          <w:szCs w:val="18"/>
          <w:lang w:val="cs-CZ"/>
        </w:rPr>
        <w:t>Tematický úkol 3/4206/2017 – výstup září. Ústav zemědělské ekonomiky a informací, Praha; 2. Interní výzkumný projekt č.1114/2017. Ústav zemědělské ekonomiky a informací, Praha; 3. Tematický úkol 3/4206/2018 – výstup září. Ústav zemědělské ekonomiky a informací, Praha</w:t>
      </w:r>
    </w:p>
  </w:footnote>
  <w:footnote w:id="4">
    <w:p w14:paraId="751AA868" w14:textId="77777777" w:rsidR="007A68D5" w:rsidRPr="00696A4A" w:rsidRDefault="007A68D5" w:rsidP="00AA3A5F">
      <w:pPr>
        <w:pStyle w:val="Textpoznpodarou"/>
        <w:rPr>
          <w:i/>
          <w:iCs/>
        </w:rPr>
      </w:pPr>
      <w:r w:rsidRPr="00696A4A">
        <w:rPr>
          <w:rStyle w:val="Znakapoznpodarou"/>
          <w:i/>
          <w:iCs/>
        </w:rPr>
        <w:footnoteRef/>
      </w:r>
      <w:r w:rsidRPr="00696A4A">
        <w:rPr>
          <w:i/>
          <w:iCs/>
        </w:rPr>
        <w:t xml:space="preserve"> </w:t>
      </w:r>
      <w:r w:rsidRPr="00696A4A">
        <w:rPr>
          <w:rFonts w:eastAsia="Times New Roman"/>
          <w:i/>
          <w:iCs/>
          <w:sz w:val="18"/>
          <w:szCs w:val="18"/>
        </w:rPr>
        <w:t xml:space="preserve">Analýza cenové transmise byla provedena na časové řadě CZV mléka, CPV másla, CPV mléka polotučného, CPV Eidamu, SC másla, SC mléka polotučného a SC Eidamu v letech 2006 až 2016.  Tyto výsledky platí pro obě úrovně komoditního řetězce, tedy pro vztah CZV a CPV i pro vztah CPV a SC. </w:t>
      </w:r>
      <w:r w:rsidRPr="00696A4A">
        <w:rPr>
          <w:i/>
          <w:iCs/>
          <w:sz w:val="18"/>
          <w:szCs w:val="18"/>
        </w:rPr>
        <w:t>V případě vepřového masa a výrobků z vepřového masa byla analýza provedena na časové řadě za léta 2006-2016 u CZV jatečných prasat, CPV vepřové kýty, CPV šunkového salámu, SC vepřové kýty a SC šunkového salámu. U drůbežího masa se analýza prováděla na časové řadě CZV kuřat jatečných, CPV a SC kuřat kuchaných. Určitým omezením bylo to, že nebylo možné provést analýzu na výrobcích s vyšší přidanou hodnotou z důvodu absence cen těchto výrobků</w:t>
      </w:r>
    </w:p>
  </w:footnote>
  <w:footnote w:id="5">
    <w:p w14:paraId="1ABB90A6" w14:textId="77777777" w:rsidR="007A68D5" w:rsidRPr="006B7439" w:rsidRDefault="007A68D5" w:rsidP="00AA3A5F">
      <w:pPr>
        <w:pStyle w:val="Textpoznpodarou"/>
        <w:spacing w:line="240" w:lineRule="atLeast"/>
        <w:rPr>
          <w:i/>
          <w:sz w:val="18"/>
          <w:szCs w:val="18"/>
        </w:rPr>
      </w:pPr>
      <w:r w:rsidRPr="00696A4A">
        <w:rPr>
          <w:rStyle w:val="Znakapoznpodarou"/>
          <w:i/>
          <w:iCs/>
        </w:rPr>
        <w:footnoteRef/>
      </w:r>
      <w:r w:rsidRPr="00696A4A">
        <w:rPr>
          <w:i/>
          <w:iCs/>
        </w:rPr>
        <w:t xml:space="preserve"> </w:t>
      </w:r>
      <w:r w:rsidRPr="00696A4A">
        <w:rPr>
          <w:i/>
          <w:iCs/>
          <w:sz w:val="18"/>
          <w:szCs w:val="18"/>
        </w:rPr>
        <w:t xml:space="preserve">Studie „Shopping Monitor 2018“, </w:t>
      </w:r>
      <w:r w:rsidRPr="00696A4A">
        <w:rPr>
          <w:i/>
          <w:iCs/>
          <w:sz w:val="18"/>
          <w:szCs w:val="18"/>
        </w:rPr>
        <w:t>GfK Czech, prosinec 2017</w:t>
      </w:r>
    </w:p>
  </w:footnote>
  <w:footnote w:id="6">
    <w:p w14:paraId="28A8F551" w14:textId="77777777" w:rsidR="007A68D5" w:rsidRPr="004C49C5" w:rsidRDefault="007A68D5" w:rsidP="00AA3A5F">
      <w:pPr>
        <w:pStyle w:val="Textpoznpodarou"/>
        <w:rPr>
          <w:i/>
          <w:iCs/>
        </w:rPr>
      </w:pPr>
      <w:r w:rsidRPr="004C49C5">
        <w:rPr>
          <w:rStyle w:val="Znakapoznpodarou"/>
          <w:i/>
          <w:iCs/>
        </w:rPr>
        <w:footnoteRef/>
      </w:r>
      <w:r w:rsidRPr="004C49C5">
        <w:rPr>
          <w:i/>
          <w:iCs/>
        </w:rPr>
        <w:t xml:space="preserve"> TU 66/2019 – Kupní chování spotřebitele: segmentace trhu a vnímaná kvalita vybraných druhů potravin. Kolektiv autorů ÚZEI.</w:t>
      </w:r>
    </w:p>
  </w:footnote>
  <w:footnote w:id="7">
    <w:p w14:paraId="74D7E310" w14:textId="1B1B42A5" w:rsidR="007A68D5" w:rsidRPr="00DB6AFE" w:rsidRDefault="007A68D5" w:rsidP="00AA3A5F">
      <w:pPr>
        <w:pStyle w:val="Textpoznpodarou"/>
        <w:spacing w:after="120"/>
        <w:rPr>
          <w:i/>
          <w:iCs/>
        </w:rPr>
      </w:pPr>
      <w:r w:rsidRPr="00DB6AFE">
        <w:rPr>
          <w:rStyle w:val="Znakapoznpodarou"/>
          <w:i/>
          <w:iCs/>
        </w:rPr>
        <w:footnoteRef/>
      </w:r>
      <w:r w:rsidRPr="00DB6AFE">
        <w:rPr>
          <w:i/>
          <w:iCs/>
        </w:rPr>
        <w:t xml:space="preserve"> </w:t>
      </w:r>
      <w:r w:rsidRPr="00DB6AFE">
        <w:rPr>
          <w:i/>
          <w:iCs/>
          <w:sz w:val="18"/>
          <w:szCs w:val="18"/>
        </w:rPr>
        <w:t xml:space="preserve">Z vymezení podpory EK </w:t>
      </w:r>
      <w:r>
        <w:rPr>
          <w:i/>
          <w:iCs/>
          <w:sz w:val="18"/>
          <w:szCs w:val="18"/>
        </w:rPr>
        <w:t xml:space="preserve">v rámci programového období 2014 – 2020 </w:t>
      </w:r>
      <w:r w:rsidRPr="00DB6AFE">
        <w:rPr>
          <w:i/>
          <w:iCs/>
          <w:sz w:val="18"/>
          <w:szCs w:val="18"/>
        </w:rPr>
        <w:t>na vytvoření a rozvoj KDŘ je zřejmé, že podpora se týk</w:t>
      </w:r>
      <w:r>
        <w:rPr>
          <w:i/>
          <w:iCs/>
          <w:sz w:val="18"/>
          <w:szCs w:val="18"/>
        </w:rPr>
        <w:t xml:space="preserve">ala </w:t>
      </w:r>
      <w:r w:rsidRPr="00DB6AFE">
        <w:rPr>
          <w:i/>
          <w:iCs/>
          <w:sz w:val="18"/>
          <w:szCs w:val="18"/>
        </w:rPr>
        <w:t xml:space="preserve"> pouze dodavatelského řetězce, který zahrnuje maximálně jednoho zprostředkovatele mezi zemědělcem a spotřebitelem.</w:t>
      </w:r>
    </w:p>
  </w:footnote>
  <w:footnote w:id="8">
    <w:p w14:paraId="192ED753" w14:textId="77777777" w:rsidR="007A68D5" w:rsidRPr="008E70E3" w:rsidRDefault="007A68D5" w:rsidP="00F673CE">
      <w:pPr>
        <w:rPr>
          <w:rFonts w:ascii="Calibri" w:eastAsia="Calibri" w:hAnsi="Calibri"/>
          <w:i/>
          <w:sz w:val="18"/>
          <w:szCs w:val="18"/>
        </w:rPr>
      </w:pPr>
      <w:r w:rsidRPr="00DB6AFE">
        <w:rPr>
          <w:rStyle w:val="Znakapoznpodarou"/>
        </w:rPr>
        <w:footnoteRef/>
      </w:r>
      <w:r w:rsidRPr="00DB6AFE">
        <w:rPr>
          <w:rFonts w:cs="Times New Roman"/>
        </w:rPr>
        <w:t xml:space="preserve"> </w:t>
      </w:r>
      <w:r w:rsidRPr="00DB6AFE">
        <w:rPr>
          <w:rFonts w:eastAsia="Calibri" w:cs="Times New Roman"/>
          <w:i/>
          <w:sz w:val="18"/>
          <w:szCs w:val="18"/>
        </w:rPr>
        <w:t xml:space="preserve">Bošková, I., Ratinger, T. (2018). Do Consumers and Producers Benefit from Labels of Regional </w:t>
      </w:r>
      <w:r w:rsidRPr="00DB6AFE">
        <w:rPr>
          <w:rFonts w:eastAsia="Calibri" w:cs="Times New Roman"/>
          <w:i/>
          <w:sz w:val="18"/>
          <w:szCs w:val="18"/>
        </w:rPr>
        <w:t>Origin?: The Case of the Czech Republic. In Matsumoto, S. and Otsuki, T. (Eds), Consumer Perception of Food Attributes, (Chapter 14, in press), 1st ed., Boca Raton, FL, USA: CRC Press. ISBN-10: 1138196843.</w:t>
      </w:r>
    </w:p>
  </w:footnote>
  <w:footnote w:id="9">
    <w:p w14:paraId="35073E08" w14:textId="77777777" w:rsidR="007A68D5" w:rsidRDefault="007A68D5" w:rsidP="00AA3A5F">
      <w:pPr>
        <w:pStyle w:val="Textpoznpodarou"/>
      </w:pPr>
      <w:r>
        <w:rPr>
          <w:rStyle w:val="Znakapoznpodarou"/>
        </w:rPr>
        <w:footnoteRef/>
      </w:r>
      <w:r>
        <w:t xml:space="preserve"> </w:t>
      </w:r>
      <w:r w:rsidRPr="00232861">
        <w:rPr>
          <w:rFonts w:asciiTheme="minorHAnsi" w:hAnsiTheme="minorHAnsi"/>
          <w:sz w:val="18"/>
          <w:szCs w:val="18"/>
        </w:rPr>
        <w:t>Držitelé mohli uvést více forem prodeje.</w:t>
      </w:r>
    </w:p>
  </w:footnote>
  <w:footnote w:id="10">
    <w:p w14:paraId="71E37931" w14:textId="77777777" w:rsidR="007A68D5" w:rsidRPr="00321EBF" w:rsidRDefault="007A68D5" w:rsidP="00AA3A5F">
      <w:pPr>
        <w:pStyle w:val="Textpoznpodarou"/>
        <w:rPr>
          <w:i/>
          <w:iCs/>
        </w:rPr>
      </w:pPr>
      <w:r w:rsidRPr="00321EBF">
        <w:rPr>
          <w:rStyle w:val="Znakapoznpodarou"/>
          <w:i/>
          <w:iCs/>
        </w:rPr>
        <w:footnoteRef/>
      </w:r>
      <w:r w:rsidRPr="00321EBF">
        <w:rPr>
          <w:i/>
          <w:iCs/>
        </w:rPr>
        <w:t xml:space="preserve"> </w:t>
      </w:r>
      <w:r w:rsidRPr="00321EBF">
        <w:rPr>
          <w:i/>
          <w:iCs/>
          <w:sz w:val="18"/>
          <w:szCs w:val="18"/>
        </w:rPr>
        <w:t xml:space="preserve">Tematický úkol 3/4206/2018 – výstup září. Ústav zemědělské ekonomiky a informací, Praha; </w:t>
      </w:r>
    </w:p>
  </w:footnote>
  <w:footnote w:id="11">
    <w:p w14:paraId="3EAD4729" w14:textId="77777777" w:rsidR="007A68D5" w:rsidRPr="00321EBF" w:rsidRDefault="007A68D5" w:rsidP="00AA3A5F">
      <w:pPr>
        <w:pStyle w:val="Textpoznpodarou"/>
        <w:rPr>
          <w:i/>
          <w:iCs/>
        </w:rPr>
      </w:pPr>
      <w:r w:rsidRPr="00321EBF">
        <w:rPr>
          <w:rStyle w:val="Znakapoznpodarou"/>
          <w:i/>
          <w:iCs/>
        </w:rPr>
        <w:footnoteRef/>
      </w:r>
      <w:r w:rsidRPr="00321EBF">
        <w:rPr>
          <w:i/>
          <w:iCs/>
        </w:rPr>
        <w:t xml:space="preserve"> </w:t>
      </w:r>
      <w:r w:rsidRPr="00321EBF">
        <w:rPr>
          <w:i/>
          <w:iCs/>
          <w:sz w:val="18"/>
          <w:szCs w:val="18"/>
        </w:rPr>
        <w:t>Dle dostupnosti dat.</w:t>
      </w:r>
    </w:p>
  </w:footnote>
  <w:footnote w:id="12">
    <w:p w14:paraId="188FBB33" w14:textId="7027ACB8" w:rsidR="007A68D5" w:rsidRDefault="007A68D5" w:rsidP="00AA3A5F">
      <w:pPr>
        <w:pStyle w:val="Textpoznpodarou"/>
      </w:pPr>
      <w:r w:rsidRPr="00321EBF">
        <w:rPr>
          <w:rStyle w:val="Znakapoznpodarou"/>
          <w:i/>
          <w:iCs/>
        </w:rPr>
        <w:footnoteRef/>
      </w:r>
      <w:r w:rsidRPr="00321EBF">
        <w:rPr>
          <w:i/>
          <w:iCs/>
        </w:rPr>
        <w:t xml:space="preserve"> </w:t>
      </w:r>
      <w:r w:rsidRPr="00321EBF">
        <w:rPr>
          <w:i/>
          <w:iCs/>
          <w:sz w:val="18"/>
          <w:szCs w:val="18"/>
        </w:rPr>
        <w:t xml:space="preserve">Pro měření koncentrace v odvětví mléka byl zvolen </w:t>
      </w:r>
      <w:r w:rsidRPr="00321EBF">
        <w:rPr>
          <w:i/>
          <w:iCs/>
          <w:sz w:val="18"/>
          <w:szCs w:val="18"/>
        </w:rPr>
        <w:t xml:space="preserve">Herfindahl-Hirshmanův index (HHI). HHI nabývá hodnot </w:t>
      </w:r>
      <m:oMath>
        <m:r>
          <w:rPr>
            <w:rFonts w:ascii="Cambria Math" w:hAnsi="Cambria Math"/>
            <w:sz w:val="18"/>
            <w:szCs w:val="18"/>
          </w:rPr>
          <m:t>0&lt;HHI≤10 000.</m:t>
        </m:r>
      </m:oMath>
      <w:r w:rsidRPr="00321EBF">
        <w:rPr>
          <w:i/>
          <w:iCs/>
          <w:sz w:val="18"/>
          <w:szCs w:val="18"/>
        </w:rPr>
        <w:t xml:space="preserve"> Pokud na trhu působí mnoho firem s velmi malým tržním podílem, blíží se</w:t>
      </w:r>
      <m:oMath>
        <m:r>
          <w:rPr>
            <w:rFonts w:ascii="Cambria Math" w:hAnsi="Cambria Math"/>
            <w:sz w:val="18"/>
            <w:szCs w:val="18"/>
          </w:rPr>
          <m:t xml:space="preserve"> HHI</m:t>
        </m:r>
      </m:oMath>
      <w:r w:rsidRPr="00321EBF">
        <w:rPr>
          <w:i/>
          <w:iCs/>
          <w:sz w:val="18"/>
          <w:szCs w:val="18"/>
        </w:rPr>
        <w:t xml:space="preserve"> nule a jedná se o dokonalou konkurenci. Pokud je naopak </w:t>
      </w:r>
      <m:oMath>
        <m:r>
          <w:rPr>
            <w:rFonts w:ascii="Cambria Math" w:hAnsi="Cambria Math"/>
            <w:sz w:val="18"/>
            <w:szCs w:val="18"/>
          </w:rPr>
          <m:t>HHI=10 000</m:t>
        </m:r>
      </m:oMath>
      <w:r w:rsidRPr="00321EBF">
        <w:rPr>
          <w:i/>
          <w:iCs/>
          <w:sz w:val="18"/>
          <w:szCs w:val="18"/>
        </w:rPr>
        <w:t xml:space="preserve">, je na trhu monopol. Uzančně se stupně koncentrace posuzují podle mezních hodnot: </w:t>
      </w:r>
      <w:r w:rsidRPr="00321EBF">
        <w:rPr>
          <w:i/>
          <w:iCs/>
          <w:color w:val="000000"/>
          <w:sz w:val="18"/>
          <w:szCs w:val="18"/>
        </w:rPr>
        <w:t>HHI &lt;1000 = nízká koncentrace; 1000 ≤ HHI &lt;2000 = střední koncentrace; 2000 ≤ HHI = vysoká koncentrace (Bauer, 2015).</w:t>
      </w:r>
    </w:p>
  </w:footnote>
  <w:footnote w:id="13">
    <w:p w14:paraId="5D0D5C0E" w14:textId="77777777" w:rsidR="007A68D5" w:rsidRPr="00B25A22" w:rsidRDefault="007A68D5" w:rsidP="00AA3A5F">
      <w:pPr>
        <w:pStyle w:val="Textpoznpodarou"/>
        <w:rPr>
          <w:i/>
          <w:sz w:val="18"/>
          <w:szCs w:val="18"/>
        </w:rPr>
      </w:pPr>
      <w:r w:rsidRPr="00B25A22">
        <w:rPr>
          <w:rStyle w:val="Znakapoznpodarou"/>
          <w:i/>
          <w:sz w:val="18"/>
          <w:szCs w:val="18"/>
        </w:rPr>
        <w:footnoteRef/>
      </w:r>
      <w:r w:rsidRPr="00B25A22">
        <w:rPr>
          <w:i/>
          <w:sz w:val="18"/>
          <w:szCs w:val="18"/>
        </w:rPr>
        <w:t xml:space="preserve"> Mlékařské hospodářské družstvo JIH, Mlékařské hospodářské družstvo Střední Čechy a dále Morava, mlékařské odbytové družstvo</w:t>
      </w:r>
    </w:p>
  </w:footnote>
  <w:footnote w:id="14">
    <w:p w14:paraId="64917EB1" w14:textId="5B1BAF58" w:rsidR="007A68D5" w:rsidRPr="00565343" w:rsidRDefault="007A68D5" w:rsidP="00AA3A5F">
      <w:pPr>
        <w:pStyle w:val="Textpoznpodarou"/>
        <w:rPr>
          <w:rFonts w:asciiTheme="minorHAnsi" w:hAnsiTheme="minorHAnsi" w:cs="Arial"/>
          <w:i/>
          <w:sz w:val="18"/>
          <w:szCs w:val="18"/>
        </w:rPr>
      </w:pPr>
      <w:r w:rsidRPr="00B25A22">
        <w:rPr>
          <w:i/>
          <w:sz w:val="18"/>
          <w:szCs w:val="18"/>
        </w:rPr>
        <w:footnoteRef/>
      </w:r>
      <w:r w:rsidRPr="00B25A22">
        <w:rPr>
          <w:i/>
          <w:sz w:val="18"/>
          <w:szCs w:val="18"/>
        </w:rPr>
        <w:t xml:space="preserve"> </w:t>
      </w:r>
      <w:r w:rsidRPr="00B25A22">
        <w:rPr>
          <w:i/>
          <w:sz w:val="18"/>
          <w:szCs w:val="18"/>
        </w:rPr>
        <w:t>Herfindahlův</w:t>
      </w:r>
      <w:r w:rsidRPr="00B25A22">
        <w:rPr>
          <w:i/>
          <w:sz w:val="18"/>
          <w:szCs w:val="18"/>
        </w:rPr>
        <w:noBreakHyphen/>
        <w:t xml:space="preserve">Hirschmanův index nabývá hodnot </w:t>
      </w:r>
      <m:oMath>
        <m:r>
          <w:rPr>
            <w:rFonts w:ascii="Cambria Math" w:hAnsi="Cambria Math"/>
            <w:sz w:val="18"/>
            <w:szCs w:val="18"/>
          </w:rPr>
          <m:t>0&lt;HHI≤10 000.</m:t>
        </m:r>
      </m:oMath>
      <w:r w:rsidRPr="00B25A22">
        <w:rPr>
          <w:i/>
          <w:sz w:val="18"/>
          <w:szCs w:val="18"/>
        </w:rPr>
        <w:t xml:space="preserve"> Pokud na trhu působí mnoho firem s velmi malým tržním podílem, blíží se</w:t>
      </w:r>
      <m:oMath>
        <m:r>
          <w:rPr>
            <w:rFonts w:ascii="Cambria Math" w:hAnsi="Cambria Math"/>
            <w:sz w:val="18"/>
            <w:szCs w:val="18"/>
          </w:rPr>
          <m:t xml:space="preserve"> HHI</m:t>
        </m:r>
      </m:oMath>
      <w:r w:rsidRPr="00B25A22">
        <w:rPr>
          <w:i/>
          <w:sz w:val="18"/>
          <w:szCs w:val="18"/>
        </w:rPr>
        <w:t xml:space="preserve"> nule a jedná se o dokonalou konkurenci. Pokud je naopak </w:t>
      </w:r>
      <m:oMath>
        <m:r>
          <w:rPr>
            <w:rFonts w:ascii="Cambria Math" w:hAnsi="Cambria Math"/>
            <w:sz w:val="18"/>
            <w:szCs w:val="18"/>
          </w:rPr>
          <m:t>HHI=10 000</m:t>
        </m:r>
      </m:oMath>
      <w:r w:rsidRPr="00B25A22">
        <w:rPr>
          <w:i/>
          <w:sz w:val="18"/>
          <w:szCs w:val="18"/>
        </w:rPr>
        <w:t>, je na trhu monopol. Hodnota HHI &lt;1000 je považována za nízkou koncentraci, hodnota 1000 ≤ HHI &lt;2000 za střední koncentraci, a hodnota 2000 ≤ HHI za vysokou koncentraci.</w:t>
      </w:r>
    </w:p>
  </w:footnote>
  <w:footnote w:id="15">
    <w:p w14:paraId="3CB644F0" w14:textId="77777777" w:rsidR="007A68D5" w:rsidRPr="00B25A22" w:rsidRDefault="007A68D5" w:rsidP="00AA3A5F">
      <w:pPr>
        <w:pStyle w:val="Textpoznpodarou"/>
        <w:rPr>
          <w:i/>
          <w:iCs/>
        </w:rPr>
      </w:pPr>
      <w:r w:rsidRPr="00B25A22">
        <w:rPr>
          <w:rStyle w:val="Znakapoznpodarou"/>
          <w:i/>
          <w:iCs/>
        </w:rPr>
        <w:footnoteRef/>
      </w:r>
      <w:r w:rsidRPr="00B25A22">
        <w:rPr>
          <w:i/>
          <w:iCs/>
        </w:rPr>
        <w:t xml:space="preserve"> </w:t>
      </w:r>
      <w:r w:rsidRPr="00B25A22">
        <w:rPr>
          <w:i/>
          <w:iCs/>
          <w:sz w:val="18"/>
          <w:szCs w:val="18"/>
        </w:rPr>
        <w:t>Pomocný výpočet na základě velikostních skupin</w:t>
      </w:r>
    </w:p>
  </w:footnote>
  <w:footnote w:id="16">
    <w:p w14:paraId="377F6F99" w14:textId="77777777" w:rsidR="007A68D5" w:rsidRDefault="007A68D5" w:rsidP="00AA3A5F">
      <w:pPr>
        <w:pStyle w:val="Textpoznpodarou"/>
      </w:pPr>
      <w:r>
        <w:rPr>
          <w:rStyle w:val="Znakapoznpodarou"/>
        </w:rPr>
        <w:footnoteRef/>
      </w:r>
      <w:r>
        <w:t xml:space="preserve"> Výzkum provedený na vzorku 1 000 spotřebitelů obecné populace, který je reprezentativním vzorkem ČR. Jedná se o výzkum postojů. Reálné chování nebylo předmětem výzkumu.  </w:t>
      </w:r>
    </w:p>
  </w:footnote>
  <w:footnote w:id="17">
    <w:p w14:paraId="2EE91434" w14:textId="77777777" w:rsidR="007A68D5" w:rsidRPr="00B56B8B" w:rsidRDefault="007A68D5" w:rsidP="00AA3A5F">
      <w:pPr>
        <w:pStyle w:val="Odstavecseseznamem"/>
        <w:spacing w:after="120" w:line="240" w:lineRule="atLeast"/>
        <w:ind w:left="0"/>
        <w:rPr>
          <w:i/>
          <w:iCs/>
        </w:rPr>
      </w:pPr>
      <w:r w:rsidRPr="00B56B8B">
        <w:rPr>
          <w:rStyle w:val="Znakapoznpodarou"/>
          <w:i/>
          <w:iCs/>
        </w:rPr>
        <w:footnoteRef/>
      </w:r>
      <w:r w:rsidRPr="00B56B8B">
        <w:rPr>
          <w:i/>
          <w:iCs/>
        </w:rPr>
        <w:t xml:space="preserve"> </w:t>
      </w:r>
      <w:r w:rsidRPr="00B56B8B">
        <w:rPr>
          <w:i/>
          <w:iCs/>
          <w:sz w:val="18"/>
          <w:szCs w:val="18"/>
        </w:rPr>
        <w:t xml:space="preserve">AMA </w:t>
      </w:r>
      <w:r w:rsidRPr="00B56B8B">
        <w:rPr>
          <w:i/>
          <w:iCs/>
          <w:sz w:val="18"/>
          <w:szCs w:val="18"/>
        </w:rPr>
        <w:t>Gütesiegel je úředně uznaná značka kvality, která je spravována a kontrolována společností Agrarmarkt Austria Marketing GesmbH.. Je chráněna jako registrovaná slovní a obrazová značka. Mohou jí být označeny potraviny, které překračují kvalitativní zákonné požadavky a jejichž původ je konkrétně vysledovatelný. AMA – Gütesiegel je nejznámější značkou kvality potravin v Rakousku. Je založena na třech pilířích – vysoká kvalita, dohledatelný původ a nezávislá kontrola. Zavedení systému sledování kvality navazuje na úkoly společnosti Agrarmarkt Austria založené roku 1992 Spolkovým zákonem o zřízení agentury tržního pořádku „Agrarmarkt Austria“</w:t>
      </w:r>
      <w:r w:rsidRPr="00B56B8B">
        <w:rPr>
          <w:rStyle w:val="Znakapoznpodarou"/>
          <w:i/>
          <w:iCs/>
          <w:sz w:val="18"/>
          <w:szCs w:val="18"/>
        </w:rPr>
        <w:footnoteRef/>
      </w:r>
      <w:r w:rsidRPr="00B56B8B">
        <w:rPr>
          <w:i/>
          <w:iCs/>
          <w:sz w:val="18"/>
          <w:szCs w:val="18"/>
        </w:rPr>
        <w:t>, uvedené v tomto zákoně, kdy podle § 3 AMA naplňuje mimo jiné tyto následující úkoly: i) Opatření ke zvyšování kvality, zejména vývoj a zavádění směrnic kvality pro zemědělské produkty a z nich vyráběné zpracované produkty.) Podpora zemědělského marketingu. V roce 2015 se programu účastnilo zhruba 47 tis. zemědělců, 250 zpracovatelů a systém pokrýval zhruba 3 000 výrobků. </w:t>
      </w:r>
    </w:p>
  </w:footnote>
  <w:footnote w:id="18">
    <w:p w14:paraId="3EB8DDA4" w14:textId="77777777" w:rsidR="007A68D5" w:rsidRPr="006B7439" w:rsidRDefault="007A68D5" w:rsidP="00AA3A5F">
      <w:pPr>
        <w:spacing w:after="120" w:line="240" w:lineRule="atLeast"/>
        <w:rPr>
          <w:rFonts w:asciiTheme="minorHAnsi" w:hAnsiTheme="minorHAnsi"/>
          <w:sz w:val="18"/>
          <w:szCs w:val="18"/>
        </w:rPr>
      </w:pPr>
      <w:r w:rsidRPr="00B56B8B">
        <w:rPr>
          <w:rStyle w:val="Znakapoznpodarou"/>
          <w:i/>
          <w:iCs/>
        </w:rPr>
        <w:footnoteRef/>
      </w:r>
      <w:r w:rsidRPr="000703B9">
        <w:rPr>
          <w:rFonts w:cs="Times New Roman"/>
          <w:i/>
          <w:iCs/>
          <w:lang w:val="cs-CZ"/>
        </w:rPr>
        <w:t xml:space="preserve"> </w:t>
      </w:r>
      <w:r w:rsidRPr="000703B9">
        <w:rPr>
          <w:rFonts w:cs="Times New Roman"/>
          <w:i/>
          <w:iCs/>
          <w:sz w:val="18"/>
          <w:szCs w:val="18"/>
          <w:lang w:val="cs-CZ"/>
        </w:rPr>
        <w:t xml:space="preserve">QS je soukromá, ekonomicky řízená iniciativa, založená v Německu společností QS </w:t>
      </w:r>
      <w:r w:rsidRPr="000703B9">
        <w:rPr>
          <w:rFonts w:cs="Times New Roman"/>
          <w:i/>
          <w:iCs/>
          <w:sz w:val="18"/>
          <w:szCs w:val="18"/>
          <w:lang w:val="cs-CZ"/>
        </w:rPr>
        <w:t xml:space="preserve">Qualität und Sicherheit GmbH, která byla založena v roce 2001 po krizi BSE. Od svého vzniku se QS považuje za alianci aktivní ochrany spotřebitele. Systém byl spuštěn 13. října 2001. Značka certifikace QS byla zapsána do rejstříku ochranných známek německého Úřadu pro patenty a Úřadu pro ochranné známky v Mnichově, dále Úřadem pro harmonizaci vnitřního trhu v Alicante a Světovým úřadem pro duševní vlastnictví (WIPO) v Ženevě a je chráněna zákonem o ochranných známkách. </w:t>
      </w:r>
      <w:r w:rsidRPr="00B56B8B">
        <w:rPr>
          <w:rFonts w:cs="Times New Roman"/>
          <w:i/>
          <w:iCs/>
          <w:sz w:val="18"/>
          <w:szCs w:val="18"/>
        </w:rPr>
        <w:t>QS označuje Quality and food Safety – Kvalitu a bezpečnost potravin. Systém poskytuje komplexní záruku, která zahrnuje všechny úrovně potravinového řetězce, od</w:t>
      </w:r>
      <w:r w:rsidRPr="006B7439">
        <w:rPr>
          <w:rFonts w:asciiTheme="minorHAnsi" w:hAnsiTheme="minorHAnsi"/>
          <w:sz w:val="18"/>
          <w:szCs w:val="18"/>
        </w:rPr>
        <w:t xml:space="preserve"> </w:t>
      </w:r>
      <w:r w:rsidRPr="00B56B8B">
        <w:rPr>
          <w:rFonts w:cs="Times New Roman"/>
          <w:i/>
          <w:iCs/>
          <w:sz w:val="18"/>
          <w:szCs w:val="18"/>
        </w:rPr>
        <w:t>prvovýroby, přes zpracovatele a prodej až po konečného spotřebitele (včetně přepravy, skladování). Označením certifikací QS ukazují</w:t>
      </w:r>
      <w:r w:rsidRPr="00B56B8B">
        <w:rPr>
          <w:rFonts w:cs="Times New Roman"/>
          <w:i/>
          <w:iCs/>
        </w:rPr>
        <w:t xml:space="preserve"> </w:t>
      </w:r>
      <w:r w:rsidRPr="00B56B8B">
        <w:rPr>
          <w:rFonts w:cs="Times New Roman"/>
          <w:i/>
          <w:iCs/>
          <w:sz w:val="18"/>
          <w:szCs w:val="18"/>
        </w:rPr>
        <w:t>účastníci tohoto programu, že produkují a prodávají své výrobky exkluzivně v souladu s požadavky programu QS.</w:t>
      </w:r>
    </w:p>
    <w:p w14:paraId="551BB2BF" w14:textId="77777777" w:rsidR="007A68D5" w:rsidRDefault="007A68D5" w:rsidP="00AA3A5F">
      <w:pPr>
        <w:pStyle w:val="Textpoznpodarou"/>
      </w:pPr>
    </w:p>
  </w:footnote>
  <w:footnote w:id="19">
    <w:p w14:paraId="22A51EE2" w14:textId="77777777" w:rsidR="007A68D5" w:rsidRPr="005E49A7" w:rsidRDefault="007A68D5" w:rsidP="00AA3A5F">
      <w:pPr>
        <w:pStyle w:val="Textpoznpodarou"/>
        <w:rPr>
          <w:i/>
          <w:iCs/>
          <w:sz w:val="18"/>
          <w:szCs w:val="18"/>
        </w:rPr>
      </w:pPr>
      <w:r w:rsidRPr="005E49A7">
        <w:rPr>
          <w:rStyle w:val="Znakapoznpodarou"/>
          <w:i/>
          <w:iCs/>
        </w:rPr>
        <w:footnoteRef/>
      </w:r>
      <w:r w:rsidRPr="005E49A7">
        <w:rPr>
          <w:i/>
          <w:iCs/>
        </w:rPr>
        <w:t xml:space="preserve"> </w:t>
      </w:r>
      <w:r w:rsidRPr="005E49A7">
        <w:rPr>
          <w:i/>
          <w:iCs/>
          <w:sz w:val="18"/>
          <w:szCs w:val="18"/>
        </w:rPr>
        <w:t xml:space="preserve">Výjimkou je započatý režim Q CZ v odvětví mléka, který však naopak končí u zpracovatele a ke spotřebiteli se nedostává. Obdobný režim v odvětví vepřového masa je v přípravě. </w:t>
      </w:r>
    </w:p>
  </w:footnote>
  <w:footnote w:id="20">
    <w:p w14:paraId="339E813E" w14:textId="77777777" w:rsidR="007A68D5" w:rsidRPr="000703B9" w:rsidRDefault="007A68D5" w:rsidP="00AA3A5F">
      <w:pPr>
        <w:jc w:val="left"/>
        <w:rPr>
          <w:color w:val="000000" w:themeColor="text1"/>
          <w:sz w:val="18"/>
          <w:szCs w:val="18"/>
          <w:lang w:val="cs-CZ"/>
        </w:rPr>
      </w:pPr>
      <w:r w:rsidRPr="00C106F1">
        <w:rPr>
          <w:rStyle w:val="Znakapoznpodarou"/>
          <w:color w:val="000000" w:themeColor="text1"/>
        </w:rPr>
        <w:footnoteRef/>
      </w:r>
      <w:r w:rsidRPr="000703B9">
        <w:rPr>
          <w:color w:val="000000" w:themeColor="text1"/>
          <w:lang w:val="cs-CZ"/>
        </w:rPr>
        <w:t xml:space="preserve"> </w:t>
      </w:r>
      <w:hyperlink r:id="rId1" w:history="1">
        <w:r w:rsidRPr="000703B9">
          <w:rPr>
            <w:rStyle w:val="Hypertextovodkaz"/>
            <w:rFonts w:eastAsia="Calibri" w:cs="Times New Roman"/>
            <w:color w:val="000000" w:themeColor="text1"/>
            <w:sz w:val="18"/>
            <w:szCs w:val="18"/>
            <w:lang w:val="cs-CZ"/>
          </w:rPr>
          <w:t>http://eagri.cz/public/web/mze/dotace/program-rozvoje-venkova-na-obdobi-2014/hodnoceni-a-monitoring/hodnoceni/strednedobe-hodnoceni-prv-2014-2020-v.html</w:t>
        </w:r>
      </w:hyperlink>
      <w:r w:rsidRPr="000703B9">
        <w:rPr>
          <w:rFonts w:cs="Times New Roman"/>
          <w:color w:val="000000" w:themeColor="text1"/>
          <w:sz w:val="18"/>
          <w:szCs w:val="18"/>
          <w:lang w:val="cs-CZ"/>
        </w:rPr>
        <w:t>.</w:t>
      </w:r>
    </w:p>
    <w:p w14:paraId="62D109C1" w14:textId="77777777" w:rsidR="007A68D5" w:rsidRDefault="007A68D5" w:rsidP="00AA3A5F">
      <w:pPr>
        <w:pStyle w:val="Textpoznpodarou"/>
      </w:pPr>
    </w:p>
  </w:footnote>
  <w:footnote w:id="21">
    <w:p w14:paraId="08700FFA" w14:textId="77777777" w:rsidR="007A68D5" w:rsidRPr="00517F5D" w:rsidRDefault="007A68D5" w:rsidP="00AA3A5F">
      <w:pPr>
        <w:pStyle w:val="Textpoznpodarou"/>
        <w:rPr>
          <w:i/>
          <w:iCs/>
        </w:rPr>
      </w:pPr>
      <w:r w:rsidRPr="00517F5D">
        <w:rPr>
          <w:rStyle w:val="Znakapoznpodarou"/>
          <w:i/>
          <w:iCs/>
        </w:rPr>
        <w:footnoteRef/>
      </w:r>
      <w:r w:rsidRPr="00517F5D">
        <w:rPr>
          <w:i/>
          <w:iCs/>
        </w:rPr>
        <w:t xml:space="preserve"> Vyjádření ze srpna až října roku 2019</w:t>
      </w:r>
    </w:p>
  </w:footnote>
  <w:footnote w:id="22">
    <w:p w14:paraId="4E219BA6" w14:textId="77777777" w:rsidR="007A68D5" w:rsidRPr="007D69D6" w:rsidRDefault="007A68D5" w:rsidP="00AA3A5F">
      <w:pPr>
        <w:pStyle w:val="Textpoznpodarou"/>
        <w:rPr>
          <w:i/>
          <w:iCs/>
        </w:rPr>
      </w:pPr>
      <w:r w:rsidRPr="007D69D6">
        <w:rPr>
          <w:rStyle w:val="Znakapoznpodarou"/>
          <w:i/>
          <w:iCs/>
        </w:rPr>
        <w:footnoteRef/>
      </w:r>
      <w:r w:rsidRPr="007D69D6">
        <w:rPr>
          <w:i/>
          <w:iCs/>
        </w:rPr>
        <w:t xml:space="preserve"> Abrahamová a kol. (2012) TU 47/4437</w:t>
      </w:r>
    </w:p>
  </w:footnote>
  <w:footnote w:id="23">
    <w:p w14:paraId="7A5D0120" w14:textId="77777777" w:rsidR="007A68D5" w:rsidRDefault="007A68D5" w:rsidP="00AA3A5F">
      <w:pPr>
        <w:pStyle w:val="Textpoznpodarou"/>
      </w:pPr>
      <w:r w:rsidRPr="007D69D6">
        <w:rPr>
          <w:rStyle w:val="Znakapoznpodarou"/>
          <w:i/>
          <w:iCs/>
        </w:rPr>
        <w:footnoteRef/>
      </w:r>
      <w:r w:rsidRPr="007D69D6">
        <w:rPr>
          <w:i/>
          <w:iCs/>
        </w:rPr>
        <w:t xml:space="preserve"> Součková a kol. (2014). (TU 35/420.</w:t>
      </w:r>
      <w:r w:rsidRPr="005D0FF8">
        <w:rPr>
          <w:rFonts w:asciiTheme="minorHAnsi" w:hAnsiTheme="minorHAnsi"/>
        </w:rPr>
        <w:t xml:space="preserve"> </w:t>
      </w:r>
    </w:p>
  </w:footnote>
  <w:footnote w:id="24">
    <w:p w14:paraId="5D010FF3" w14:textId="77777777" w:rsidR="007A68D5" w:rsidRPr="000703B9" w:rsidRDefault="007A68D5" w:rsidP="00AA3A5F">
      <w:pPr>
        <w:spacing w:after="120" w:line="240" w:lineRule="atLeast"/>
        <w:rPr>
          <w:rFonts w:cs="Times New Roman"/>
          <w:i/>
          <w:iCs/>
          <w:lang w:val="cs-CZ"/>
        </w:rPr>
      </w:pPr>
      <w:r w:rsidRPr="00912592">
        <w:rPr>
          <w:rStyle w:val="Znakapoznpodarou"/>
          <w:i/>
          <w:iCs/>
        </w:rPr>
        <w:footnoteRef/>
      </w:r>
      <w:r w:rsidRPr="000703B9">
        <w:rPr>
          <w:rFonts w:cs="Times New Roman"/>
          <w:i/>
          <w:iCs/>
          <w:lang w:val="cs-CZ"/>
        </w:rPr>
        <w:t xml:space="preserve"> </w:t>
      </w:r>
      <w:r w:rsidRPr="000703B9">
        <w:rPr>
          <w:rFonts w:cs="Times New Roman"/>
          <w:i/>
          <w:iCs/>
          <w:sz w:val="18"/>
          <w:szCs w:val="18"/>
          <w:lang w:val="cs-CZ"/>
        </w:rPr>
        <w:t>Smyslem značky Klasa je podle garanta značky (MZe) na straně jedné marketingově podpořit aktivity producentů potravin, na straně druhé pak edukovat spotřebitele v otázce kvality potravin. Značka se uděluje na 3 roky a garantuje, že jsou nabízeny skutečně kvalitní a zdravotně nezávadné potraviny. Celkový stav databáze KLASA k 31. 12. 2017 byl 995 výrobků od 225 výrobců. Za rok 2017 bylo oceněno 203 výrobků od 84 výrobců.</w:t>
      </w:r>
    </w:p>
  </w:footnote>
  <w:footnote w:id="25">
    <w:p w14:paraId="0CCDC9B4" w14:textId="77777777" w:rsidR="007A68D5" w:rsidRPr="00D04DCB" w:rsidRDefault="007A68D5" w:rsidP="00AA3A5F">
      <w:pPr>
        <w:pStyle w:val="Textpoznpodarou"/>
        <w:rPr>
          <w:rFonts w:asciiTheme="minorHAnsi" w:eastAsia="Times New Roman" w:hAnsiTheme="minorHAnsi"/>
          <w:i/>
          <w:sz w:val="18"/>
          <w:szCs w:val="18"/>
        </w:rPr>
      </w:pPr>
      <w:r w:rsidRPr="00912592">
        <w:rPr>
          <w:rStyle w:val="Znakapoznpodarou"/>
          <w:i/>
          <w:iCs/>
        </w:rPr>
        <w:footnoteRef/>
      </w:r>
      <w:r w:rsidRPr="00912592">
        <w:rPr>
          <w:i/>
          <w:iCs/>
        </w:rPr>
        <w:t xml:space="preserve"> </w:t>
      </w:r>
      <w:r w:rsidRPr="00912592">
        <w:rPr>
          <w:rFonts w:eastAsia="Times New Roman"/>
          <w:i/>
          <w:iCs/>
          <w:sz w:val="18"/>
          <w:szCs w:val="18"/>
        </w:rPr>
        <w:t>Značku Regionální potravina uděluje na základě krajských soutěží MZe ve 13 krajích České republiky nejkvalitnějším zemědělským nebo potravinářským výrobkům. Odborné poroty vybírají vždy 1 vítězný výrobek v 9 kategoriích. Segment oceněných je však velmi malý. V roce 2017 se do soutěže přihlásilo celkem 441 výrobců s 1 566 výrobky a bylo oceněno 106 výrobků. Značka je určena výhradně pro malé a střední podniky.</w:t>
      </w:r>
    </w:p>
  </w:footnote>
  <w:footnote w:id="26">
    <w:p w14:paraId="4DBFAB7F" w14:textId="77777777" w:rsidR="007A68D5" w:rsidRPr="00912592" w:rsidRDefault="007A68D5" w:rsidP="00AA3A5F">
      <w:pPr>
        <w:pStyle w:val="Textpoznpodarou"/>
        <w:rPr>
          <w:i/>
          <w:iCs/>
          <w:sz w:val="18"/>
          <w:szCs w:val="18"/>
        </w:rPr>
      </w:pPr>
      <w:r w:rsidRPr="00912592">
        <w:rPr>
          <w:rStyle w:val="Znakapoznpodarou"/>
          <w:i/>
          <w:iCs/>
          <w:sz w:val="18"/>
          <w:szCs w:val="18"/>
        </w:rPr>
        <w:footnoteRef/>
      </w:r>
      <w:r w:rsidRPr="00912592">
        <w:rPr>
          <w:i/>
          <w:iCs/>
          <w:sz w:val="18"/>
          <w:szCs w:val="18"/>
        </w:rPr>
        <w:t xml:space="preserve"> Ve většině regionů se „regionální značka“ neomezuje pouze na potraviny, ale zahrnuje i řemeslné výrobky a turistické služby. Cestovní ruch zůstává jedním z hlavních marketingových cílů. Značení je určeno návštěvníkům regionů, kterým dovoluje objevovat region, i místním obyvatelům, kteří mohou nákupem značených výrobků podporovat „své” místní výrobce.</w:t>
      </w:r>
    </w:p>
  </w:footnote>
  <w:footnote w:id="27">
    <w:p w14:paraId="4D230E50" w14:textId="77777777" w:rsidR="007A68D5" w:rsidRPr="00912592" w:rsidRDefault="007A68D5" w:rsidP="00AA3A5F">
      <w:pPr>
        <w:pStyle w:val="Textpoznpodarou"/>
        <w:rPr>
          <w:i/>
          <w:iCs/>
          <w:sz w:val="18"/>
          <w:szCs w:val="18"/>
        </w:rPr>
      </w:pPr>
      <w:r w:rsidRPr="00912592">
        <w:rPr>
          <w:rStyle w:val="Znakapoznpodarou"/>
          <w:i/>
          <w:iCs/>
          <w:sz w:val="18"/>
          <w:szCs w:val="18"/>
        </w:rPr>
        <w:footnoteRef/>
      </w:r>
      <w:r w:rsidRPr="00912592">
        <w:rPr>
          <w:i/>
          <w:iCs/>
          <w:sz w:val="18"/>
          <w:szCs w:val="18"/>
        </w:rPr>
        <w:t xml:space="preserve"> Bošková, I., </w:t>
      </w:r>
      <w:r w:rsidRPr="00912592">
        <w:rPr>
          <w:i/>
          <w:iCs/>
          <w:sz w:val="18"/>
          <w:szCs w:val="18"/>
        </w:rPr>
        <w:t xml:space="preserve">Ratinger, T. (2018). Do Consumers Benefit from the Labels of Regional Origin? The Case of the Czech Republic. </w:t>
      </w:r>
      <w:r w:rsidRPr="00912592">
        <w:rPr>
          <w:i/>
          <w:iCs/>
          <w:sz w:val="18"/>
          <w:szCs w:val="18"/>
          <w:lang w:val="en-US" w:eastAsia="ja-JP"/>
        </w:rPr>
        <w:t xml:space="preserve">In Matsumoto, S. and Otsuki, T. (Eds), Consumer Perception of Food Attributes, (Chapter 14, pp. 203-220), 1st ed., Taylor and Francis Group, Boca Raton, Florida, USA: CRC Press. ISBN-13: 978 1 138 19684 1. </w:t>
      </w:r>
    </w:p>
  </w:footnote>
  <w:footnote w:id="28">
    <w:p w14:paraId="54E8F179" w14:textId="77777777" w:rsidR="007A68D5" w:rsidRDefault="007A68D5" w:rsidP="00AA3A5F">
      <w:pPr>
        <w:pStyle w:val="Textpoznpodarou"/>
      </w:pPr>
      <w:r w:rsidRPr="00912592">
        <w:rPr>
          <w:rStyle w:val="Znakapoznpodarou"/>
          <w:i/>
          <w:iCs/>
          <w:sz w:val="18"/>
          <w:szCs w:val="18"/>
        </w:rPr>
        <w:footnoteRef/>
      </w:r>
      <w:r w:rsidRPr="00912592">
        <w:rPr>
          <w:i/>
          <w:iCs/>
          <w:sz w:val="18"/>
          <w:szCs w:val="18"/>
        </w:rPr>
        <w:t xml:space="preserve"> Ověřeno na vzorku 38 % držitelů Regionální značky.</w:t>
      </w:r>
    </w:p>
  </w:footnote>
  <w:footnote w:id="29">
    <w:p w14:paraId="078483B4" w14:textId="77777777" w:rsidR="007A68D5" w:rsidRPr="00F86256" w:rsidRDefault="007A68D5" w:rsidP="00AA3A5F">
      <w:pPr>
        <w:pStyle w:val="Textpoznpodarou"/>
        <w:ind w:left="142"/>
        <w:rPr>
          <w:rFonts w:eastAsia="Times New Roman"/>
          <w:i/>
          <w:iCs/>
          <w:sz w:val="18"/>
          <w:szCs w:val="18"/>
        </w:rPr>
      </w:pPr>
      <w:r w:rsidRPr="00F86256">
        <w:rPr>
          <w:rStyle w:val="Znakapoznpodarou"/>
          <w:i/>
          <w:iCs/>
        </w:rPr>
        <w:footnoteRef/>
      </w:r>
      <w:r w:rsidRPr="00F86256">
        <w:rPr>
          <w:i/>
          <w:iCs/>
        </w:rPr>
        <w:t xml:space="preserve"> </w:t>
      </w:r>
      <w:r w:rsidRPr="00F86256">
        <w:rPr>
          <w:rFonts w:eastAsia="Times New Roman"/>
          <w:i/>
          <w:iCs/>
          <w:sz w:val="18"/>
          <w:szCs w:val="18"/>
        </w:rPr>
        <w:t xml:space="preserve">Režim přispívá ke stimulaci účasti producentů a zpracovatelů v režimu, který stanovuje vybrané kvalitativní charakteristiky mléka na nadstandardní úrovni (počet somatických buněk, celkový počet mikroorganismů, obsah bílkovin) a dodržet další parametry mléka (negativní rezidua inhibičních látek, bod mrznutí a obsah tukuprosté sušiny). Stimulace je provedena formou úhrady nákladů vedoucí ke zlepšení definovaných charakteristik.  </w:t>
      </w:r>
    </w:p>
  </w:footnote>
  <w:footnote w:id="30">
    <w:p w14:paraId="01BD5494" w14:textId="77777777" w:rsidR="007A68D5" w:rsidRPr="00F86256" w:rsidRDefault="007A68D5" w:rsidP="00AA3A5F">
      <w:pPr>
        <w:pStyle w:val="Textpoznpodarou"/>
        <w:rPr>
          <w:i/>
          <w:iCs/>
          <w:sz w:val="18"/>
          <w:szCs w:val="18"/>
        </w:rPr>
      </w:pPr>
      <w:r w:rsidRPr="00F86256">
        <w:rPr>
          <w:rStyle w:val="Znakapoznpodarou"/>
          <w:i/>
          <w:iCs/>
          <w:sz w:val="18"/>
          <w:szCs w:val="18"/>
        </w:rPr>
        <w:footnoteRef/>
      </w:r>
      <w:r w:rsidRPr="00F86256">
        <w:rPr>
          <w:i/>
          <w:iCs/>
          <w:sz w:val="18"/>
          <w:szCs w:val="18"/>
        </w:rPr>
        <w:t xml:space="preserve"> Data převzata z TÚ ÚZEI 4212/2019 výstup č.1.</w:t>
      </w:r>
    </w:p>
  </w:footnote>
  <w:footnote w:id="31">
    <w:p w14:paraId="7681F9CC" w14:textId="77777777" w:rsidR="007A68D5" w:rsidRPr="009E6AFF" w:rsidRDefault="007A68D5" w:rsidP="00AA3A5F">
      <w:pPr>
        <w:pStyle w:val="Textpoznpodarou"/>
        <w:rPr>
          <w:i/>
          <w:iCs/>
        </w:rPr>
      </w:pPr>
      <w:r w:rsidRPr="009E6AFF">
        <w:rPr>
          <w:rStyle w:val="Znakapoznpodarou"/>
          <w:i/>
          <w:iCs/>
        </w:rPr>
        <w:footnoteRef/>
      </w:r>
      <w:r w:rsidRPr="009E6AFF">
        <w:rPr>
          <w:i/>
          <w:iCs/>
        </w:rPr>
        <w:t xml:space="preserve">  </w:t>
      </w:r>
      <w:r w:rsidRPr="009E6AFF">
        <w:rPr>
          <w:i/>
          <w:iCs/>
          <w:sz w:val="18"/>
          <w:szCs w:val="18"/>
        </w:rPr>
        <w:t>Tematický úkol 47/4437/2012 – výstup č.4. Ústav zemědělské ekonomiky a informací, Praha.</w:t>
      </w:r>
    </w:p>
  </w:footnote>
  <w:footnote w:id="32">
    <w:p w14:paraId="7358F327" w14:textId="77777777" w:rsidR="007A68D5" w:rsidRDefault="007A68D5" w:rsidP="00AA3A5F">
      <w:pPr>
        <w:pStyle w:val="Textpoznpodarou"/>
      </w:pPr>
      <w:r w:rsidRPr="009E6AFF">
        <w:rPr>
          <w:rStyle w:val="Znakapoznpodarou"/>
          <w:i/>
          <w:iCs/>
        </w:rPr>
        <w:footnoteRef/>
      </w:r>
      <w:r w:rsidRPr="009E6AFF">
        <w:rPr>
          <w:i/>
          <w:iCs/>
        </w:rPr>
        <w:t xml:space="preserve"> </w:t>
      </w:r>
      <w:r w:rsidRPr="009E6AFF">
        <w:rPr>
          <w:i/>
          <w:iCs/>
          <w:sz w:val="18"/>
          <w:szCs w:val="18"/>
        </w:rPr>
        <w:t>Tematický úkol 35/4201/2014 – výstup listopad. Ústav zemědělské ekonomiky a informací, Praha.</w:t>
      </w:r>
    </w:p>
  </w:footnote>
  <w:footnote w:id="33">
    <w:p w14:paraId="36751CAC" w14:textId="77777777" w:rsidR="007A68D5" w:rsidRPr="006D5523" w:rsidRDefault="007A68D5" w:rsidP="00AA3A5F">
      <w:pPr>
        <w:pStyle w:val="Textpoznpodarou"/>
        <w:rPr>
          <w:i/>
          <w:iCs/>
          <w:sz w:val="18"/>
          <w:szCs w:val="18"/>
        </w:rPr>
      </w:pPr>
      <w:r w:rsidRPr="006D5523">
        <w:rPr>
          <w:i/>
          <w:iCs/>
          <w:sz w:val="18"/>
          <w:szCs w:val="18"/>
        </w:rPr>
        <w:footnoteRef/>
      </w:r>
      <w:r w:rsidRPr="006D5523">
        <w:rPr>
          <w:i/>
          <w:iCs/>
          <w:sz w:val="18"/>
          <w:szCs w:val="18"/>
        </w:rPr>
        <w:t xml:space="preserve"> Tematický úkol 47/4203/2017 „Vyhodnocení Programu podpor pro vinohradnictví a vinařství v České republice“ – výstup únor. Ústav zemědělské ekonomiky a informací, Praha.</w:t>
      </w:r>
    </w:p>
  </w:footnote>
  <w:footnote w:id="34">
    <w:p w14:paraId="45D9D5EA" w14:textId="77777777" w:rsidR="007A68D5" w:rsidRPr="006D5523" w:rsidRDefault="007A68D5" w:rsidP="00AA3A5F">
      <w:pPr>
        <w:pStyle w:val="Textpoznpodarou"/>
        <w:rPr>
          <w:i/>
          <w:iCs/>
          <w:sz w:val="18"/>
          <w:szCs w:val="18"/>
        </w:rPr>
      </w:pPr>
      <w:r w:rsidRPr="006D5523">
        <w:rPr>
          <w:rStyle w:val="Znakapoznpodarou"/>
          <w:i/>
          <w:iCs/>
        </w:rPr>
        <w:footnoteRef/>
      </w:r>
      <w:r w:rsidRPr="006D5523">
        <w:rPr>
          <w:i/>
          <w:iCs/>
        </w:rPr>
        <w:t xml:space="preserve"> </w:t>
      </w:r>
      <w:r w:rsidRPr="006D5523">
        <w:rPr>
          <w:i/>
          <w:iCs/>
          <w:sz w:val="18"/>
          <w:szCs w:val="18"/>
        </w:rPr>
        <w:t>Tematický úkol 43/4203/2019 „Vyhodnocení Programu podpor pro vinohradnictví a vinařství v České republice“ – výstup únor. Ústav zemědělské ekonomiky a informací, Praha.</w:t>
      </w:r>
    </w:p>
    <w:p w14:paraId="50F04D45" w14:textId="77777777" w:rsidR="007A68D5" w:rsidRDefault="007A68D5" w:rsidP="00AA3A5F">
      <w:pPr>
        <w:pStyle w:val="Textpoznpodarou"/>
      </w:pPr>
    </w:p>
  </w:footnote>
  <w:footnote w:id="35">
    <w:p w14:paraId="2DD1330C" w14:textId="77777777" w:rsidR="007A68D5" w:rsidRPr="001E7821" w:rsidRDefault="007A68D5" w:rsidP="001E7821">
      <w:pPr>
        <w:pStyle w:val="Default"/>
        <w:jc w:val="both"/>
        <w:rPr>
          <w:rFonts w:eastAsia="Times New Roman" w:cs="Calibri"/>
          <w:i/>
          <w:iCs/>
          <w:color w:val="auto"/>
          <w:sz w:val="18"/>
          <w:szCs w:val="18"/>
          <w:lang w:eastAsia="ar-SA"/>
        </w:rPr>
      </w:pPr>
      <w:r w:rsidRPr="001E7821">
        <w:rPr>
          <w:rStyle w:val="Znakapoznpodarou"/>
          <w:i/>
          <w:iCs/>
          <w:sz w:val="18"/>
          <w:szCs w:val="18"/>
        </w:rPr>
        <w:footnoteRef/>
      </w:r>
      <w:r w:rsidRPr="001E7821">
        <w:rPr>
          <w:i/>
          <w:iCs/>
          <w:sz w:val="18"/>
          <w:szCs w:val="18"/>
        </w:rPr>
        <w:t xml:space="preserve"> </w:t>
      </w:r>
      <w:r w:rsidRPr="001E7821">
        <w:rPr>
          <w:rFonts w:eastAsia="Times New Roman" w:cs="Calibri"/>
          <w:i/>
          <w:iCs/>
          <w:color w:val="auto"/>
          <w:sz w:val="18"/>
          <w:szCs w:val="18"/>
          <w:lang w:eastAsia="ar-SA"/>
        </w:rPr>
        <w:t>Podle § 9 nařízení vlády č. 197/2005 Sb., v platném znění, zveřejňuje SZIF finanční částku určenou v roce 2017 na dotace na včelařská opatření. Podle prováděcího rozhodnutí Komise (EU) 2016/1102 ze dne 5. července 2016 a v souladu s čl. 55 odst. 2 nařízení Evropského Parlamentu a Rady (EU) č. 1308/2013 činí v roce 2017 příspěvek Unie na provádění opatření na podporu včelařství v rámci Českého včelařského programu částku 1 250 510 EUR. Celková výše finančních prostředků, kterou je možno na včelařská opatření využít tak činí 67 580 061 Kč a je hrazená z 50 % z rozpočtu ČR a z 50 % z rozpočtu EU. Pro stanovení celkové finanční částky v Kč, byl v souladu s čl. 34 odst. 1 nařízení v přenesené pravomoci (EU) č. 907/2014 užit směnný kurz ECB ze dne 30. 12. 2016 ve výši 27,021 CZK/EUR.</w:t>
      </w:r>
    </w:p>
  </w:footnote>
  <w:footnote w:id="36">
    <w:p w14:paraId="4DA02B2D" w14:textId="77777777" w:rsidR="007A68D5" w:rsidRPr="00707C46" w:rsidRDefault="007A68D5" w:rsidP="001E7821">
      <w:pPr>
        <w:pStyle w:val="Textpoznpodarou"/>
      </w:pPr>
      <w:r w:rsidRPr="001E7821">
        <w:rPr>
          <w:i/>
          <w:iCs/>
          <w:sz w:val="18"/>
          <w:szCs w:val="18"/>
        </w:rPr>
        <w:footnoteRef/>
      </w:r>
      <w:r w:rsidRPr="001E7821">
        <w:rPr>
          <w:i/>
          <w:iCs/>
          <w:sz w:val="18"/>
          <w:szCs w:val="18"/>
        </w:rPr>
        <w:t xml:space="preserve"> V důsledku nadměrného zájmu chovatelů včel přesáhl objem uznaných nároků na dotaci celkovou výši přidělených finančních prostředků. Bylo proto nutno pro opatření Technická pomoc (s výjimkou dotací na vedení včelařských kroužků pro děti a mládež) a Racionalizace kočování krátit jednotlivé částky poskytované dotace v souladu s platnou legislativou koeficientem 0,4359.</w:t>
      </w:r>
      <w:r w:rsidRPr="00707C46">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64E34" w14:textId="77777777" w:rsidR="007A68D5" w:rsidRDefault="007A68D5">
    <w:pPr>
      <w:pStyle w:val="Zhlav"/>
    </w:pPr>
    <w:r>
      <w:rPr>
        <w:noProof/>
        <w:lang w:val="cs-CZ" w:eastAsia="cs-CZ"/>
      </w:rPr>
      <mc:AlternateContent>
        <mc:Choice Requires="wps">
          <w:drawing>
            <wp:anchor distT="0" distB="0" distL="114300" distR="114300" simplePos="0" relativeHeight="251660288" behindDoc="1" locked="0" layoutInCell="0" allowOverlap="1" wp14:anchorId="719E41A8" wp14:editId="5F49C43D">
              <wp:simplePos x="0" y="0"/>
              <wp:positionH relativeFrom="margin">
                <wp:align>center</wp:align>
              </wp:positionH>
              <wp:positionV relativeFrom="margin">
                <wp:align>center</wp:align>
              </wp:positionV>
              <wp:extent cx="5801360" cy="2320290"/>
              <wp:effectExtent l="0" t="0" r="0" b="0"/>
              <wp:wrapNone/>
              <wp:docPr id="28" name="PowerPlusWaterMarkObject2324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18900000">
                        <a:off x="0" y="0"/>
                        <a:ext cx="5801360" cy="23202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4A532B2" w14:textId="77777777" w:rsidR="007A68D5" w:rsidRDefault="007A68D5" w:rsidP="007A68D5">
                          <w:pPr>
                            <w:jc w:val="center"/>
                            <w:rPr>
                              <w:color w:val="FFFF00"/>
                              <w:sz w:val="72"/>
                              <w:szCs w:val="72"/>
                              <w14:textFill>
                                <w14:solidFill>
                                  <w14:srgbClr w14:val="FFFF00">
                                    <w14:alpha w14:val="50000"/>
                                  </w14:srgbClr>
                                </w14:solidFill>
                              </w14:textFill>
                            </w:rPr>
                          </w:pPr>
                          <w:r>
                            <w:rPr>
                              <w:color w:val="FFFF00"/>
                              <w:sz w:val="72"/>
                              <w:szCs w:val="72"/>
                              <w14:textFill>
                                <w14:solidFill>
                                  <w14:srgbClr w14:val="FFFF00">
                                    <w14:alpha w14:val="50000"/>
                                  </w14:srgb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719E41A8" id="_x0000_t202" coordsize="21600,21600" o:spt="202" path="m,l,21600r21600,l21600,xe">
              <v:stroke joinstyle="miter"/>
              <v:path gradientshapeok="t" o:connecttype="rect"/>
            </v:shapetype>
            <v:shape id="PowerPlusWaterMarkObject2324360" o:spid="_x0000_s1026" type="#_x0000_t202" style="position:absolute;left:0;text-align:left;margin-left:0;margin-top:0;width:456.8pt;height:182.7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" o:allowincell="f" filled="f" stroked="f">
              <v:stroke joinstyle="round"/>
              <v:path arrowok="t"/>
              <v:textbox>
                <w:txbxContent>
                  <w:p w14:paraId="14A532B2" w14:textId="77777777" w:rsidR="007A68D5" w:rsidRDefault="007A68D5" w:rsidP="007A68D5">
                    <w:pPr>
                      <w:jc w:val="center"/>
                      <w:rPr>
                        <w:color w:val="FFFF00"/>
                        <w:sz w:val="72"/>
                        <w:szCs w:val="72"/>
                        <w14:textFill>
                          <w14:solidFill>
                            <w14:srgbClr w14:val="FFFF00">
                              <w14:alpha w14:val="50000"/>
                            </w14:srgbClr>
                          </w14:solidFill>
                        </w14:textFill>
                      </w:rPr>
                    </w:pPr>
                    <w:r>
                      <w:rPr>
                        <w:color w:val="FFFF00"/>
                        <w:sz w:val="72"/>
                        <w:szCs w:val="72"/>
                        <w14:textFill>
                          <w14:solidFill>
                            <w14:srgbClr w14:val="FFFF00">
                              <w14:alpha w14:val="50000"/>
                            </w14:srgbClr>
                          </w14:solidFill>
                        </w14:textFill>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C4A6" w14:textId="77777777" w:rsidR="007A68D5" w:rsidRDefault="007A68D5">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8D09" w14:textId="0B4B433D" w:rsidR="007A68D5" w:rsidRPr="00B87E14" w:rsidRDefault="007A68D5" w:rsidP="00B87E14">
    <w:pPr>
      <w:pStyle w:val="Zhlav"/>
      <w:tabs>
        <w:tab w:val="clear" w:pos="4513"/>
      </w:tabs>
      <w:rPr>
        <w:lang w:val="cs-CZ"/>
      </w:rPr>
    </w:pPr>
    <w:r>
      <w:rPr>
        <w:lang w:val="cs-CZ"/>
      </w:rPr>
      <w:tab/>
    </w:r>
  </w:p>
  <w:p w14:paraId="38610A83" w14:textId="77777777" w:rsidR="007A68D5" w:rsidRDefault="007A68D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22313" w14:textId="77777777" w:rsidR="007A68D5" w:rsidRDefault="007A68D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B3FDA" w14:textId="06134906" w:rsidR="007A68D5" w:rsidRDefault="007A68D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A571E" w14:textId="58A6B3DD" w:rsidR="007A68D5" w:rsidRDefault="007A68D5">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FDD6D" w14:textId="07D7BDB7" w:rsidR="007A68D5" w:rsidRDefault="007A68D5">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5491F" w14:textId="7A95C2CF" w:rsidR="007A68D5" w:rsidRDefault="007A68D5">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68FDF" w14:textId="0E4F00A0" w:rsidR="007A68D5" w:rsidRDefault="007A68D5">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156A6" w14:textId="10094B35" w:rsidR="007A68D5" w:rsidRDefault="007A68D5">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129A" w14:textId="4F96DFC2" w:rsidR="007A68D5" w:rsidRDefault="007A68D5">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430A4" w14:textId="5E5F7B47" w:rsidR="007A68D5" w:rsidRDefault="007A68D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C7893E6"/>
    <w:lvl w:ilvl="0">
      <w:start w:val="1"/>
      <w:numFmt w:val="bullet"/>
      <w:pStyle w:val="Seznamsodrkami3"/>
      <w:lvlText w:val=""/>
      <w:lvlJc w:val="left"/>
      <w:pPr>
        <w:tabs>
          <w:tab w:val="num" w:pos="926"/>
        </w:tabs>
        <w:ind w:left="926" w:hanging="360"/>
      </w:pPr>
      <w:rPr>
        <w:rFonts w:ascii="Symbol" w:hAnsi="Symbol" w:hint="default"/>
      </w:rPr>
    </w:lvl>
  </w:abstractNum>
  <w:abstractNum w:abstractNumId="1" w15:restartNumberingAfterBreak="0">
    <w:nsid w:val="024F32ED"/>
    <w:multiLevelType w:val="hybridMultilevel"/>
    <w:tmpl w:val="DC8C8972"/>
    <w:lvl w:ilvl="0" w:tplc="E1A8693C">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57796B"/>
    <w:multiLevelType w:val="hybridMultilevel"/>
    <w:tmpl w:val="3F82AF90"/>
    <w:lvl w:ilvl="0" w:tplc="CDD28864">
      <w:start w:val="1"/>
      <w:numFmt w:val="decimal"/>
      <w:lvlText w:val="%1)"/>
      <w:lvlJc w:val="left"/>
      <w:pPr>
        <w:ind w:left="927" w:hanging="360"/>
      </w:pPr>
      <w:rPr>
        <w:rFonts w:ascii="Times New Roman" w:hAnsi="Times New Roman" w:hint="default"/>
        <w:i w:val="0"/>
        <w:color w:val="auto"/>
        <w:sz w:val="24"/>
        <w:vertAlign w:val="superscrip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 w15:restartNumberingAfterBreak="0">
    <w:nsid w:val="09A95596"/>
    <w:multiLevelType w:val="hybridMultilevel"/>
    <w:tmpl w:val="3F82AF90"/>
    <w:lvl w:ilvl="0" w:tplc="CDD28864">
      <w:start w:val="1"/>
      <w:numFmt w:val="decimal"/>
      <w:lvlText w:val="%1)"/>
      <w:lvlJc w:val="left"/>
      <w:pPr>
        <w:ind w:left="927" w:hanging="360"/>
      </w:pPr>
      <w:rPr>
        <w:rFonts w:ascii="Times New Roman" w:hAnsi="Times New Roman" w:hint="default"/>
        <w:i w:val="0"/>
        <w:color w:val="auto"/>
        <w:sz w:val="24"/>
        <w:vertAlign w:val="superscrip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 w15:restartNumberingAfterBreak="0">
    <w:nsid w:val="0A127BC8"/>
    <w:multiLevelType w:val="multilevel"/>
    <w:tmpl w:val="1FDE13DA"/>
    <w:lvl w:ilvl="0">
      <w:start w:val="1"/>
      <w:numFmt w:val="decimal"/>
      <w:pStyle w:val="TableheadingAgency"/>
      <w:suff w:val="space"/>
      <w:lvlText w:val="Table %1. "/>
      <w:lvlJc w:val="left"/>
      <w:pPr>
        <w:ind w:left="0" w:firstLine="0"/>
      </w:pPr>
      <w:rPr>
        <w:rFonts w:ascii="Verdana" w:hAnsi="Verdana" w:hint="default"/>
        <w:b/>
        <w:i w:val="0"/>
        <w:sz w:val="18"/>
        <w:szCs w:val="18"/>
      </w:rPr>
    </w:lvl>
    <w:lvl w:ilvl="1">
      <w:start w:val="1"/>
      <w:numFmt w:val="decimalZero"/>
      <w:isLgl/>
      <w:lvlText w:val="%1Section .%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0A742B56"/>
    <w:multiLevelType w:val="hybridMultilevel"/>
    <w:tmpl w:val="7B9EE18C"/>
    <w:lvl w:ilvl="0" w:tplc="E1A8693C">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F5676B5"/>
    <w:multiLevelType w:val="hybridMultilevel"/>
    <w:tmpl w:val="ED0EC324"/>
    <w:lvl w:ilvl="0" w:tplc="CC427364">
      <w:start w:val="1"/>
      <w:numFmt w:val="decimal"/>
      <w:pStyle w:val="UZEINadpis3st"/>
      <w:lvlText w:val="1.1.%1"/>
      <w:lvlJc w:val="left"/>
      <w:pPr>
        <w:ind w:left="1287" w:hanging="360"/>
      </w:pPr>
      <w:rPr>
        <w:rFonts w:hint="default"/>
        <w:color w:val="auto"/>
        <w:sz w:val="24"/>
        <w:u w:val="none" w:color="FFFFFF" w:themeColor="background1"/>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7" w15:restartNumberingAfterBreak="0">
    <w:nsid w:val="103D2E37"/>
    <w:multiLevelType w:val="multilevel"/>
    <w:tmpl w:val="1A5A7714"/>
    <w:lvl w:ilvl="0">
      <w:start w:val="1"/>
      <w:numFmt w:val="decimal"/>
      <w:lvlText w:val="%1."/>
      <w:lvlJc w:val="left"/>
      <w:pPr>
        <w:ind w:left="720" w:hanging="360"/>
      </w:pPr>
      <w:rPr>
        <w:rFonts w:ascii="Arial" w:hAnsi="Arial" w:cs="Arial" w:hint="default"/>
        <w:b/>
        <w:sz w:val="28"/>
        <w:szCs w:val="28"/>
      </w:rPr>
    </w:lvl>
    <w:lvl w:ilvl="1">
      <w:start w:val="1"/>
      <w:numFmt w:val="decimal"/>
      <w:lvlText w:val="%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8B1660E"/>
    <w:multiLevelType w:val="hybridMultilevel"/>
    <w:tmpl w:val="C77C7C7C"/>
    <w:lvl w:ilvl="0" w:tplc="F2960104">
      <w:start w:val="1"/>
      <w:numFmt w:val="none"/>
      <w:lvlText w:val="S"/>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0C9015F"/>
    <w:multiLevelType w:val="hybridMultilevel"/>
    <w:tmpl w:val="B532D06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62A5CF6"/>
    <w:multiLevelType w:val="hybridMultilevel"/>
    <w:tmpl w:val="0816B75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1" w15:restartNumberingAfterBreak="0">
    <w:nsid w:val="2A262A92"/>
    <w:multiLevelType w:val="hybridMultilevel"/>
    <w:tmpl w:val="871E0D5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6326F7"/>
    <w:multiLevelType w:val="hybridMultilevel"/>
    <w:tmpl w:val="19DEB1CA"/>
    <w:lvl w:ilvl="0" w:tplc="E1A8693C">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CFE3FE5"/>
    <w:multiLevelType w:val="hybridMultilevel"/>
    <w:tmpl w:val="871E0D50"/>
    <w:lvl w:ilvl="0" w:tplc="04050011">
      <w:start w:val="1"/>
      <w:numFmt w:val="decimal"/>
      <w:lvlText w:val="%1)"/>
      <w:lvlJc w:val="left"/>
      <w:pPr>
        <w:ind w:left="4188" w:hanging="360"/>
      </w:pPr>
      <w:rPr>
        <w:rFonts w:hint="default"/>
      </w:rPr>
    </w:lvl>
    <w:lvl w:ilvl="1" w:tplc="04050019" w:tentative="1">
      <w:start w:val="1"/>
      <w:numFmt w:val="lowerLetter"/>
      <w:lvlText w:val="%2."/>
      <w:lvlJc w:val="left"/>
      <w:pPr>
        <w:ind w:left="4908" w:hanging="360"/>
      </w:pPr>
    </w:lvl>
    <w:lvl w:ilvl="2" w:tplc="0405001B" w:tentative="1">
      <w:start w:val="1"/>
      <w:numFmt w:val="lowerRoman"/>
      <w:lvlText w:val="%3."/>
      <w:lvlJc w:val="right"/>
      <w:pPr>
        <w:ind w:left="5628" w:hanging="180"/>
      </w:pPr>
    </w:lvl>
    <w:lvl w:ilvl="3" w:tplc="0405000F" w:tentative="1">
      <w:start w:val="1"/>
      <w:numFmt w:val="decimal"/>
      <w:lvlText w:val="%4."/>
      <w:lvlJc w:val="left"/>
      <w:pPr>
        <w:ind w:left="6348" w:hanging="360"/>
      </w:pPr>
    </w:lvl>
    <w:lvl w:ilvl="4" w:tplc="04050019" w:tentative="1">
      <w:start w:val="1"/>
      <w:numFmt w:val="lowerLetter"/>
      <w:lvlText w:val="%5."/>
      <w:lvlJc w:val="left"/>
      <w:pPr>
        <w:ind w:left="7068" w:hanging="360"/>
      </w:pPr>
    </w:lvl>
    <w:lvl w:ilvl="5" w:tplc="0405001B" w:tentative="1">
      <w:start w:val="1"/>
      <w:numFmt w:val="lowerRoman"/>
      <w:lvlText w:val="%6."/>
      <w:lvlJc w:val="right"/>
      <w:pPr>
        <w:ind w:left="7788" w:hanging="180"/>
      </w:pPr>
    </w:lvl>
    <w:lvl w:ilvl="6" w:tplc="0405000F" w:tentative="1">
      <w:start w:val="1"/>
      <w:numFmt w:val="decimal"/>
      <w:lvlText w:val="%7."/>
      <w:lvlJc w:val="left"/>
      <w:pPr>
        <w:ind w:left="8508" w:hanging="360"/>
      </w:pPr>
    </w:lvl>
    <w:lvl w:ilvl="7" w:tplc="04050019" w:tentative="1">
      <w:start w:val="1"/>
      <w:numFmt w:val="lowerLetter"/>
      <w:lvlText w:val="%8."/>
      <w:lvlJc w:val="left"/>
      <w:pPr>
        <w:ind w:left="9228" w:hanging="360"/>
      </w:pPr>
    </w:lvl>
    <w:lvl w:ilvl="8" w:tplc="0405001B" w:tentative="1">
      <w:start w:val="1"/>
      <w:numFmt w:val="lowerRoman"/>
      <w:lvlText w:val="%9."/>
      <w:lvlJc w:val="right"/>
      <w:pPr>
        <w:ind w:left="9948" w:hanging="180"/>
      </w:pPr>
    </w:lvl>
  </w:abstractNum>
  <w:abstractNum w:abstractNumId="14" w15:restartNumberingAfterBreak="0">
    <w:nsid w:val="31C2223B"/>
    <w:multiLevelType w:val="hybridMultilevel"/>
    <w:tmpl w:val="C26E9884"/>
    <w:lvl w:ilvl="0" w:tplc="0C94ECD4">
      <w:start w:val="1"/>
      <w:numFmt w:val="lowerLetter"/>
      <w:lvlText w:val="%1."/>
      <w:lvlJc w:val="left"/>
      <w:pPr>
        <w:ind w:left="1429" w:hanging="360"/>
      </w:pPr>
      <w:rPr>
        <w:rFonts w:ascii="Times New Roman" w:eastAsia="Calibri" w:hAnsi="Times New Roman" w:cs="Times New Roman"/>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5" w15:restartNumberingAfterBreak="0">
    <w:nsid w:val="31FD6A76"/>
    <w:multiLevelType w:val="hybridMultilevel"/>
    <w:tmpl w:val="44EC8EDC"/>
    <w:lvl w:ilvl="0" w:tplc="2F9010D6">
      <w:start w:val="1"/>
      <w:numFmt w:val="bullet"/>
      <w:pStyle w:val="UZEIOdrky"/>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6" w15:restartNumberingAfterBreak="0">
    <w:nsid w:val="33C37F5C"/>
    <w:multiLevelType w:val="multilevel"/>
    <w:tmpl w:val="CB1CA172"/>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7" w15:restartNumberingAfterBreak="0">
    <w:nsid w:val="359B338C"/>
    <w:multiLevelType w:val="hybridMultilevel"/>
    <w:tmpl w:val="9E6AE53E"/>
    <w:lvl w:ilvl="0" w:tplc="E1A8693C">
      <w:start w:val="1"/>
      <w:numFmt w:val="bullet"/>
      <w:lvlText w:val="-"/>
      <w:lvlJc w:val="left"/>
      <w:pPr>
        <w:ind w:left="720" w:hanging="360"/>
      </w:pPr>
      <w:rPr>
        <w:rFonts w:ascii="Calibri"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0425330"/>
    <w:multiLevelType w:val="hybridMultilevel"/>
    <w:tmpl w:val="3CD8A1AA"/>
    <w:lvl w:ilvl="0" w:tplc="97949C64">
      <w:start w:val="1"/>
      <w:numFmt w:val="decimal"/>
      <w:pStyle w:val="UZEITaB"/>
      <w:lvlText w:val="Tabulka %1"/>
      <w:lvlJc w:val="left"/>
      <w:pPr>
        <w:ind w:left="1004" w:hanging="284"/>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428415E7"/>
    <w:multiLevelType w:val="multilevel"/>
    <w:tmpl w:val="92100ADA"/>
    <w:lvl w:ilvl="0">
      <w:start w:val="1"/>
      <w:numFmt w:val="decimal"/>
      <w:pStyle w:val="slova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2976507"/>
    <w:multiLevelType w:val="hybridMultilevel"/>
    <w:tmpl w:val="810C1A0A"/>
    <w:lvl w:ilvl="0" w:tplc="04050011">
      <w:start w:val="1"/>
      <w:numFmt w:val="decimal"/>
      <w:lvlText w:val="%1)"/>
      <w:lvlJc w:val="left"/>
      <w:pPr>
        <w:ind w:left="7023" w:hanging="360"/>
      </w:pPr>
      <w:rPr>
        <w:rFonts w:hint="default"/>
      </w:rPr>
    </w:lvl>
    <w:lvl w:ilvl="1" w:tplc="04050019" w:tentative="1">
      <w:start w:val="1"/>
      <w:numFmt w:val="lowerLetter"/>
      <w:lvlText w:val="%2."/>
      <w:lvlJc w:val="left"/>
      <w:pPr>
        <w:ind w:left="7743" w:hanging="360"/>
      </w:pPr>
    </w:lvl>
    <w:lvl w:ilvl="2" w:tplc="0405001B" w:tentative="1">
      <w:start w:val="1"/>
      <w:numFmt w:val="lowerRoman"/>
      <w:lvlText w:val="%3."/>
      <w:lvlJc w:val="right"/>
      <w:pPr>
        <w:ind w:left="8463" w:hanging="180"/>
      </w:pPr>
    </w:lvl>
    <w:lvl w:ilvl="3" w:tplc="0405000F" w:tentative="1">
      <w:start w:val="1"/>
      <w:numFmt w:val="decimal"/>
      <w:lvlText w:val="%4."/>
      <w:lvlJc w:val="left"/>
      <w:pPr>
        <w:ind w:left="9183" w:hanging="360"/>
      </w:pPr>
    </w:lvl>
    <w:lvl w:ilvl="4" w:tplc="04050019" w:tentative="1">
      <w:start w:val="1"/>
      <w:numFmt w:val="lowerLetter"/>
      <w:lvlText w:val="%5."/>
      <w:lvlJc w:val="left"/>
      <w:pPr>
        <w:ind w:left="9903" w:hanging="360"/>
      </w:pPr>
    </w:lvl>
    <w:lvl w:ilvl="5" w:tplc="0405001B" w:tentative="1">
      <w:start w:val="1"/>
      <w:numFmt w:val="lowerRoman"/>
      <w:lvlText w:val="%6."/>
      <w:lvlJc w:val="right"/>
      <w:pPr>
        <w:ind w:left="10623" w:hanging="180"/>
      </w:pPr>
    </w:lvl>
    <w:lvl w:ilvl="6" w:tplc="0405000F" w:tentative="1">
      <w:start w:val="1"/>
      <w:numFmt w:val="decimal"/>
      <w:lvlText w:val="%7."/>
      <w:lvlJc w:val="left"/>
      <w:pPr>
        <w:ind w:left="11343" w:hanging="360"/>
      </w:pPr>
    </w:lvl>
    <w:lvl w:ilvl="7" w:tplc="04050019" w:tentative="1">
      <w:start w:val="1"/>
      <w:numFmt w:val="lowerLetter"/>
      <w:lvlText w:val="%8."/>
      <w:lvlJc w:val="left"/>
      <w:pPr>
        <w:ind w:left="12063" w:hanging="360"/>
      </w:pPr>
    </w:lvl>
    <w:lvl w:ilvl="8" w:tplc="0405001B" w:tentative="1">
      <w:start w:val="1"/>
      <w:numFmt w:val="lowerRoman"/>
      <w:lvlText w:val="%9."/>
      <w:lvlJc w:val="right"/>
      <w:pPr>
        <w:ind w:left="12783" w:hanging="180"/>
      </w:pPr>
    </w:lvl>
  </w:abstractNum>
  <w:abstractNum w:abstractNumId="21" w15:restartNumberingAfterBreak="0">
    <w:nsid w:val="42B85786"/>
    <w:multiLevelType w:val="hybridMultilevel"/>
    <w:tmpl w:val="871E0D5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3606FA4"/>
    <w:multiLevelType w:val="hybridMultilevel"/>
    <w:tmpl w:val="63BE0E7C"/>
    <w:lvl w:ilvl="0" w:tplc="297E1D6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552127F"/>
    <w:multiLevelType w:val="hybridMultilevel"/>
    <w:tmpl w:val="057A5296"/>
    <w:name w:val="Bullet 0"/>
    <w:lvl w:ilvl="0" w:tplc="EEE2E77C">
      <w:start w:val="1"/>
      <w:numFmt w:val="bullet"/>
      <w:lvlRestart w:val="0"/>
      <w:pStyle w:val="Bullet0"/>
      <w:lvlText w:val=""/>
      <w:lvlJc w:val="left"/>
      <w:pPr>
        <w:tabs>
          <w:tab w:val="num" w:pos="850"/>
        </w:tabs>
        <w:ind w:left="850" w:hanging="850"/>
      </w:pPr>
      <w:rPr>
        <w:rFonts w:ascii="Symbol" w:hAnsi="Symbol" w:hint="default"/>
      </w:rPr>
    </w:lvl>
    <w:lvl w:ilvl="1" w:tplc="390290D0">
      <w:numFmt w:val="decimal"/>
      <w:lvlText w:val=""/>
      <w:lvlJc w:val="left"/>
    </w:lvl>
    <w:lvl w:ilvl="2" w:tplc="0CF0D3EC">
      <w:numFmt w:val="decimal"/>
      <w:lvlText w:val=""/>
      <w:lvlJc w:val="left"/>
    </w:lvl>
    <w:lvl w:ilvl="3" w:tplc="9B28E480">
      <w:numFmt w:val="decimal"/>
      <w:lvlText w:val=""/>
      <w:lvlJc w:val="left"/>
    </w:lvl>
    <w:lvl w:ilvl="4" w:tplc="ACA016A0">
      <w:numFmt w:val="decimal"/>
      <w:lvlText w:val=""/>
      <w:lvlJc w:val="left"/>
    </w:lvl>
    <w:lvl w:ilvl="5" w:tplc="350440E0">
      <w:numFmt w:val="decimal"/>
      <w:lvlText w:val=""/>
      <w:lvlJc w:val="left"/>
    </w:lvl>
    <w:lvl w:ilvl="6" w:tplc="41DA92E6">
      <w:numFmt w:val="decimal"/>
      <w:lvlText w:val=""/>
      <w:lvlJc w:val="left"/>
    </w:lvl>
    <w:lvl w:ilvl="7" w:tplc="22161716">
      <w:numFmt w:val="decimal"/>
      <w:lvlText w:val=""/>
      <w:lvlJc w:val="left"/>
    </w:lvl>
    <w:lvl w:ilvl="8" w:tplc="110072CA">
      <w:numFmt w:val="decimal"/>
      <w:lvlText w:val=""/>
      <w:lvlJc w:val="left"/>
    </w:lvl>
  </w:abstractNum>
  <w:abstractNum w:abstractNumId="24" w15:restartNumberingAfterBreak="0">
    <w:nsid w:val="46416C75"/>
    <w:multiLevelType w:val="hybridMultilevel"/>
    <w:tmpl w:val="215C37D2"/>
    <w:lvl w:ilvl="0" w:tplc="2F9010D6">
      <w:start w:val="1"/>
      <w:numFmt w:val="bullet"/>
      <w:lvlText w:val=""/>
      <w:lvlJc w:val="left"/>
      <w:pPr>
        <w:ind w:left="720" w:hanging="360"/>
      </w:pPr>
      <w:rPr>
        <w:rFonts w:ascii="Symbol" w:hAnsi="Symbol" w:hint="default"/>
      </w:rPr>
    </w:lvl>
    <w:lvl w:ilvl="1" w:tplc="84E85FE0">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5" w15:restartNumberingAfterBreak="0">
    <w:nsid w:val="475C64A6"/>
    <w:multiLevelType w:val="hybridMultilevel"/>
    <w:tmpl w:val="871E0D5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D30773D"/>
    <w:multiLevelType w:val="hybridMultilevel"/>
    <w:tmpl w:val="73560EDE"/>
    <w:lvl w:ilvl="0" w:tplc="E1A8693C">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DA46073"/>
    <w:multiLevelType w:val="multilevel"/>
    <w:tmpl w:val="15F8326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549530C1"/>
    <w:multiLevelType w:val="hybridMultilevel"/>
    <w:tmpl w:val="269C93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C056EE5"/>
    <w:multiLevelType w:val="hybridMultilevel"/>
    <w:tmpl w:val="3378D27C"/>
    <w:name w:val="Bullet 2"/>
    <w:lvl w:ilvl="0" w:tplc="852A3CFA">
      <w:start w:val="1"/>
      <w:numFmt w:val="bullet"/>
      <w:lvlRestart w:val="0"/>
      <w:pStyle w:val="Bullet2"/>
      <w:lvlText w:val=""/>
      <w:lvlJc w:val="left"/>
      <w:pPr>
        <w:tabs>
          <w:tab w:val="num" w:pos="1984"/>
        </w:tabs>
        <w:ind w:left="1984" w:hanging="567"/>
      </w:pPr>
      <w:rPr>
        <w:rFonts w:ascii="Symbol" w:hAnsi="Symbol" w:hint="default"/>
      </w:rPr>
    </w:lvl>
    <w:lvl w:ilvl="1" w:tplc="C66230B2">
      <w:numFmt w:val="decimal"/>
      <w:lvlText w:val=""/>
      <w:lvlJc w:val="left"/>
    </w:lvl>
    <w:lvl w:ilvl="2" w:tplc="97FC371C">
      <w:numFmt w:val="decimal"/>
      <w:lvlText w:val=""/>
      <w:lvlJc w:val="left"/>
    </w:lvl>
    <w:lvl w:ilvl="3" w:tplc="86222B3A">
      <w:numFmt w:val="decimal"/>
      <w:lvlText w:val=""/>
      <w:lvlJc w:val="left"/>
    </w:lvl>
    <w:lvl w:ilvl="4" w:tplc="9CC48040">
      <w:numFmt w:val="decimal"/>
      <w:lvlText w:val=""/>
      <w:lvlJc w:val="left"/>
    </w:lvl>
    <w:lvl w:ilvl="5" w:tplc="BFE8DF26">
      <w:numFmt w:val="decimal"/>
      <w:lvlText w:val=""/>
      <w:lvlJc w:val="left"/>
    </w:lvl>
    <w:lvl w:ilvl="6" w:tplc="3B6875EE">
      <w:numFmt w:val="decimal"/>
      <w:lvlText w:val=""/>
      <w:lvlJc w:val="left"/>
    </w:lvl>
    <w:lvl w:ilvl="7" w:tplc="AE9064C2">
      <w:numFmt w:val="decimal"/>
      <w:lvlText w:val=""/>
      <w:lvlJc w:val="left"/>
    </w:lvl>
    <w:lvl w:ilvl="8" w:tplc="EEB6585A">
      <w:numFmt w:val="decimal"/>
      <w:lvlText w:val=""/>
      <w:lvlJc w:val="left"/>
    </w:lvl>
  </w:abstractNum>
  <w:abstractNum w:abstractNumId="30" w15:restartNumberingAfterBreak="0">
    <w:nsid w:val="634D3F02"/>
    <w:multiLevelType w:val="hybridMultilevel"/>
    <w:tmpl w:val="DBD86DD0"/>
    <w:lvl w:ilvl="0" w:tplc="519AF26A">
      <w:start w:val="1"/>
      <w:numFmt w:val="decimal"/>
      <w:pStyle w:val="UZEIGraf"/>
      <w:lvlText w:val="Graf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3A03A84"/>
    <w:multiLevelType w:val="multilevel"/>
    <w:tmpl w:val="8CD07CB2"/>
    <w:lvl w:ilvl="0">
      <w:start w:val="1"/>
      <w:numFmt w:val="decimal"/>
      <w:lvlText w:val="%1"/>
      <w:lvlJc w:val="left"/>
      <w:pPr>
        <w:ind w:left="922" w:hanging="432"/>
      </w:pPr>
      <w:rPr>
        <w:rFonts w:hint="default"/>
        <w:color w:val="auto"/>
      </w:rPr>
    </w:lvl>
    <w:lvl w:ilvl="1">
      <w:start w:val="1"/>
      <w:numFmt w:val="decimal"/>
      <w:pStyle w:val="UZEINadpis2st"/>
      <w:lvlText w:val="1.%2"/>
      <w:lvlJc w:val="left"/>
      <w:pPr>
        <w:ind w:left="1066" w:hanging="576"/>
      </w:pPr>
      <w:rPr>
        <w:rFonts w:hint="default"/>
        <w:color w:val="auto"/>
        <w:sz w:val="24"/>
      </w:rPr>
    </w:lvl>
    <w:lvl w:ilvl="2">
      <w:start w:val="1"/>
      <w:numFmt w:val="decimal"/>
      <w:lvlText w:val="%1.%2.%3"/>
      <w:lvlJc w:val="left"/>
      <w:pPr>
        <w:ind w:left="1210" w:hanging="720"/>
      </w:pPr>
    </w:lvl>
    <w:lvl w:ilvl="3">
      <w:start w:val="1"/>
      <w:numFmt w:val="decimal"/>
      <w:lvlText w:val="%1.%2.%3.%4"/>
      <w:lvlJc w:val="left"/>
      <w:pPr>
        <w:ind w:left="1354" w:hanging="864"/>
      </w:pPr>
    </w:lvl>
    <w:lvl w:ilvl="4">
      <w:start w:val="1"/>
      <w:numFmt w:val="decimal"/>
      <w:lvlText w:val="%1.%2.%3.%4.%5"/>
      <w:lvlJc w:val="left"/>
      <w:pPr>
        <w:ind w:left="1498" w:hanging="1008"/>
      </w:pPr>
    </w:lvl>
    <w:lvl w:ilvl="5">
      <w:start w:val="1"/>
      <w:numFmt w:val="decimal"/>
      <w:lvlText w:val="%1.%2.%3.%4.%5.%6"/>
      <w:lvlJc w:val="left"/>
      <w:pPr>
        <w:ind w:left="1642" w:hanging="1152"/>
      </w:pPr>
    </w:lvl>
    <w:lvl w:ilvl="6">
      <w:start w:val="1"/>
      <w:numFmt w:val="decimal"/>
      <w:lvlText w:val="%1.%2.%3.%4.%5.%6.%7"/>
      <w:lvlJc w:val="left"/>
      <w:pPr>
        <w:ind w:left="1786" w:hanging="1296"/>
      </w:pPr>
    </w:lvl>
    <w:lvl w:ilvl="7">
      <w:start w:val="1"/>
      <w:numFmt w:val="decimal"/>
      <w:lvlText w:val="%1.%2.%3.%4.%5.%6.%7.%8"/>
      <w:lvlJc w:val="left"/>
      <w:pPr>
        <w:ind w:left="1930" w:hanging="1440"/>
      </w:pPr>
    </w:lvl>
    <w:lvl w:ilvl="8">
      <w:start w:val="1"/>
      <w:numFmt w:val="decimal"/>
      <w:lvlText w:val="%1.%2.%3.%4.%5.%6.%7.%8.%9"/>
      <w:lvlJc w:val="left"/>
      <w:pPr>
        <w:ind w:left="2074" w:hanging="1584"/>
      </w:pPr>
    </w:lvl>
  </w:abstractNum>
  <w:abstractNum w:abstractNumId="32" w15:restartNumberingAfterBreak="0">
    <w:nsid w:val="6CD274C9"/>
    <w:multiLevelType w:val="hybridMultilevel"/>
    <w:tmpl w:val="1A2202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DD429AB"/>
    <w:multiLevelType w:val="hybridMultilevel"/>
    <w:tmpl w:val="85BCE0E4"/>
    <w:lvl w:ilvl="0" w:tplc="81144E7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F9034AF"/>
    <w:multiLevelType w:val="hybridMultilevel"/>
    <w:tmpl w:val="B532D06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2C66653"/>
    <w:multiLevelType w:val="hybridMultilevel"/>
    <w:tmpl w:val="84EA79A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927304D"/>
    <w:multiLevelType w:val="hybridMultilevel"/>
    <w:tmpl w:val="73089DB0"/>
    <w:lvl w:ilvl="0" w:tplc="D2C2E66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94C2BF8"/>
    <w:multiLevelType w:val="hybridMultilevel"/>
    <w:tmpl w:val="122436C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C260AC7"/>
    <w:multiLevelType w:val="hybridMultilevel"/>
    <w:tmpl w:val="A4468A0E"/>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0F">
      <w:start w:val="1"/>
      <w:numFmt w:val="decimal"/>
      <w:lvlText w:val="%3."/>
      <w:lvlJc w:val="left"/>
      <w:pPr>
        <w:tabs>
          <w:tab w:val="num" w:pos="2340"/>
        </w:tabs>
        <w:ind w:left="2340" w:hanging="36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DE03CB9"/>
    <w:multiLevelType w:val="hybridMultilevel"/>
    <w:tmpl w:val="24227820"/>
    <w:lvl w:ilvl="0" w:tplc="CA46876E">
      <w:start w:val="1"/>
      <w:numFmt w:val="decimal"/>
      <w:pStyle w:val="UZEIObr"/>
      <w:lvlText w:val="Obrázek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6"/>
  </w:num>
  <w:num w:numId="2">
    <w:abstractNumId w:val="15"/>
  </w:num>
  <w:num w:numId="3">
    <w:abstractNumId w:val="30"/>
  </w:num>
  <w:num w:numId="4">
    <w:abstractNumId w:val="18"/>
  </w:num>
  <w:num w:numId="5">
    <w:abstractNumId w:val="39"/>
  </w:num>
  <w:num w:numId="6">
    <w:abstractNumId w:val="6"/>
  </w:num>
  <w:num w:numId="7">
    <w:abstractNumId w:val="31"/>
  </w:num>
  <w:num w:numId="8">
    <w:abstractNumId w:val="7"/>
  </w:num>
  <w:num w:numId="9">
    <w:abstractNumId w:val="4"/>
  </w:num>
  <w:num w:numId="10">
    <w:abstractNumId w:val="23"/>
  </w:num>
  <w:num w:numId="11">
    <w:abstractNumId w:val="29"/>
  </w:num>
  <w:num w:numId="12">
    <w:abstractNumId w:val="10"/>
  </w:num>
  <w:num w:numId="13">
    <w:abstractNumId w:val="21"/>
  </w:num>
  <w:num w:numId="14">
    <w:abstractNumId w:val="25"/>
  </w:num>
  <w:num w:numId="15">
    <w:abstractNumId w:val="13"/>
  </w:num>
  <w:num w:numId="16">
    <w:abstractNumId w:val="33"/>
  </w:num>
  <w:num w:numId="17">
    <w:abstractNumId w:val="11"/>
  </w:num>
  <w:num w:numId="18">
    <w:abstractNumId w:val="1"/>
  </w:num>
  <w:num w:numId="19">
    <w:abstractNumId w:val="3"/>
  </w:num>
  <w:num w:numId="20">
    <w:abstractNumId w:val="5"/>
  </w:num>
  <w:num w:numId="21">
    <w:abstractNumId w:val="36"/>
  </w:num>
  <w:num w:numId="22">
    <w:abstractNumId w:val="27"/>
  </w:num>
  <w:num w:numId="23">
    <w:abstractNumId w:val="12"/>
  </w:num>
  <w:num w:numId="24">
    <w:abstractNumId w:val="38"/>
  </w:num>
  <w:num w:numId="25">
    <w:abstractNumId w:val="20"/>
  </w:num>
  <w:num w:numId="26">
    <w:abstractNumId w:val="22"/>
  </w:num>
  <w:num w:numId="27">
    <w:abstractNumId w:val="14"/>
  </w:num>
  <w:num w:numId="28">
    <w:abstractNumId w:val="17"/>
  </w:num>
  <w:num w:numId="29">
    <w:abstractNumId w:val="0"/>
  </w:num>
  <w:num w:numId="30">
    <w:abstractNumId w:val="19"/>
  </w:num>
  <w:num w:numId="31">
    <w:abstractNumId w:val="26"/>
  </w:num>
  <w:num w:numId="32">
    <w:abstractNumId w:val="2"/>
  </w:num>
  <w:num w:numId="33">
    <w:abstractNumId w:val="37"/>
  </w:num>
  <w:num w:numId="34">
    <w:abstractNumId w:val="35"/>
  </w:num>
  <w:num w:numId="35">
    <w:abstractNumId w:val="28"/>
  </w:num>
  <w:num w:numId="36">
    <w:abstractNumId w:val="34"/>
  </w:num>
  <w:num w:numId="37">
    <w:abstractNumId w:val="24"/>
  </w:num>
  <w:num w:numId="38">
    <w:abstractNumId w:val="9"/>
  </w:num>
  <w:num w:numId="39">
    <w:abstractNumId w:val="32"/>
  </w:num>
  <w:num w:numId="40">
    <w:abstractNumId w:val="8"/>
  </w:num>
  <w:num w:numId="41">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E14"/>
    <w:rsid w:val="0000288B"/>
    <w:rsid w:val="0000432D"/>
    <w:rsid w:val="000115F1"/>
    <w:rsid w:val="000120F7"/>
    <w:rsid w:val="00021744"/>
    <w:rsid w:val="0003417E"/>
    <w:rsid w:val="00034B70"/>
    <w:rsid w:val="000563E5"/>
    <w:rsid w:val="0007022C"/>
    <w:rsid w:val="000703B9"/>
    <w:rsid w:val="00073C13"/>
    <w:rsid w:val="00076581"/>
    <w:rsid w:val="000A1E5A"/>
    <w:rsid w:val="000A4E38"/>
    <w:rsid w:val="000B4470"/>
    <w:rsid w:val="000B44F1"/>
    <w:rsid w:val="000E3988"/>
    <w:rsid w:val="000F1F84"/>
    <w:rsid w:val="000F7485"/>
    <w:rsid w:val="00120330"/>
    <w:rsid w:val="00130FD1"/>
    <w:rsid w:val="001314DB"/>
    <w:rsid w:val="001335A6"/>
    <w:rsid w:val="00141692"/>
    <w:rsid w:val="00142A9F"/>
    <w:rsid w:val="0015020D"/>
    <w:rsid w:val="00154018"/>
    <w:rsid w:val="00164CBE"/>
    <w:rsid w:val="0017024E"/>
    <w:rsid w:val="00181315"/>
    <w:rsid w:val="00185EDD"/>
    <w:rsid w:val="0019408F"/>
    <w:rsid w:val="001A1A4B"/>
    <w:rsid w:val="001D1976"/>
    <w:rsid w:val="001E083A"/>
    <w:rsid w:val="001E17E8"/>
    <w:rsid w:val="001E7821"/>
    <w:rsid w:val="001E7906"/>
    <w:rsid w:val="00231F37"/>
    <w:rsid w:val="00237DFB"/>
    <w:rsid w:val="0028471D"/>
    <w:rsid w:val="002921F0"/>
    <w:rsid w:val="00297CD8"/>
    <w:rsid w:val="002A021F"/>
    <w:rsid w:val="002A4C32"/>
    <w:rsid w:val="002B411B"/>
    <w:rsid w:val="002B7246"/>
    <w:rsid w:val="002C00C9"/>
    <w:rsid w:val="002D2FC9"/>
    <w:rsid w:val="002D33D2"/>
    <w:rsid w:val="002D5D15"/>
    <w:rsid w:val="002E17B7"/>
    <w:rsid w:val="002F40B9"/>
    <w:rsid w:val="0031504D"/>
    <w:rsid w:val="00321EBF"/>
    <w:rsid w:val="00331440"/>
    <w:rsid w:val="00353CF0"/>
    <w:rsid w:val="00354B26"/>
    <w:rsid w:val="00383E11"/>
    <w:rsid w:val="0039089B"/>
    <w:rsid w:val="003A3B75"/>
    <w:rsid w:val="003B0485"/>
    <w:rsid w:val="003B1F45"/>
    <w:rsid w:val="003B78F3"/>
    <w:rsid w:val="003C257C"/>
    <w:rsid w:val="003C2914"/>
    <w:rsid w:val="003D3D8C"/>
    <w:rsid w:val="003D58EA"/>
    <w:rsid w:val="003E2323"/>
    <w:rsid w:val="003F2F64"/>
    <w:rsid w:val="003F3510"/>
    <w:rsid w:val="00445C7A"/>
    <w:rsid w:val="004502EF"/>
    <w:rsid w:val="004643E9"/>
    <w:rsid w:val="00467F54"/>
    <w:rsid w:val="004747F2"/>
    <w:rsid w:val="00477EC6"/>
    <w:rsid w:val="00480367"/>
    <w:rsid w:val="004829AE"/>
    <w:rsid w:val="004839C3"/>
    <w:rsid w:val="004A3BE1"/>
    <w:rsid w:val="004A5CFF"/>
    <w:rsid w:val="004A7243"/>
    <w:rsid w:val="004B1580"/>
    <w:rsid w:val="004C49C5"/>
    <w:rsid w:val="004C6086"/>
    <w:rsid w:val="004E216F"/>
    <w:rsid w:val="004F16FD"/>
    <w:rsid w:val="004F1CE2"/>
    <w:rsid w:val="004F37D3"/>
    <w:rsid w:val="00500CAA"/>
    <w:rsid w:val="00511FA4"/>
    <w:rsid w:val="00517F5D"/>
    <w:rsid w:val="00521166"/>
    <w:rsid w:val="00527861"/>
    <w:rsid w:val="00530AD2"/>
    <w:rsid w:val="00531FDA"/>
    <w:rsid w:val="00551481"/>
    <w:rsid w:val="00556ADE"/>
    <w:rsid w:val="00561985"/>
    <w:rsid w:val="00572587"/>
    <w:rsid w:val="005A2A38"/>
    <w:rsid w:val="005A396B"/>
    <w:rsid w:val="005B5895"/>
    <w:rsid w:val="005B5B5D"/>
    <w:rsid w:val="005B7F62"/>
    <w:rsid w:val="005C2408"/>
    <w:rsid w:val="005C5AD9"/>
    <w:rsid w:val="005E49A7"/>
    <w:rsid w:val="005F13AA"/>
    <w:rsid w:val="005F142E"/>
    <w:rsid w:val="00610397"/>
    <w:rsid w:val="0062006F"/>
    <w:rsid w:val="00627641"/>
    <w:rsid w:val="00632BAA"/>
    <w:rsid w:val="00640914"/>
    <w:rsid w:val="0064752C"/>
    <w:rsid w:val="00655E07"/>
    <w:rsid w:val="00660D6A"/>
    <w:rsid w:val="006660D2"/>
    <w:rsid w:val="006752D6"/>
    <w:rsid w:val="00676C5D"/>
    <w:rsid w:val="0068225B"/>
    <w:rsid w:val="006826AD"/>
    <w:rsid w:val="00685BB7"/>
    <w:rsid w:val="00693A2B"/>
    <w:rsid w:val="00696A4A"/>
    <w:rsid w:val="006A2D3B"/>
    <w:rsid w:val="006C247D"/>
    <w:rsid w:val="006C727D"/>
    <w:rsid w:val="006D5523"/>
    <w:rsid w:val="006D560F"/>
    <w:rsid w:val="006E47F1"/>
    <w:rsid w:val="006F1E2C"/>
    <w:rsid w:val="007012B3"/>
    <w:rsid w:val="0071129E"/>
    <w:rsid w:val="00712635"/>
    <w:rsid w:val="00737350"/>
    <w:rsid w:val="007431D6"/>
    <w:rsid w:val="007506B1"/>
    <w:rsid w:val="00755F54"/>
    <w:rsid w:val="007560F1"/>
    <w:rsid w:val="00764116"/>
    <w:rsid w:val="00784A04"/>
    <w:rsid w:val="007A0B29"/>
    <w:rsid w:val="007A68D5"/>
    <w:rsid w:val="007C634C"/>
    <w:rsid w:val="007D69D6"/>
    <w:rsid w:val="007E7D43"/>
    <w:rsid w:val="00856E96"/>
    <w:rsid w:val="0086054E"/>
    <w:rsid w:val="00860B6F"/>
    <w:rsid w:val="00863AA4"/>
    <w:rsid w:val="00864C5E"/>
    <w:rsid w:val="008660FE"/>
    <w:rsid w:val="00875DE7"/>
    <w:rsid w:val="00875ED7"/>
    <w:rsid w:val="0087790C"/>
    <w:rsid w:val="00883E5A"/>
    <w:rsid w:val="00890F29"/>
    <w:rsid w:val="00892B35"/>
    <w:rsid w:val="00892DB5"/>
    <w:rsid w:val="008C417F"/>
    <w:rsid w:val="008C6819"/>
    <w:rsid w:val="008D332F"/>
    <w:rsid w:val="008E1893"/>
    <w:rsid w:val="008F0213"/>
    <w:rsid w:val="009048BB"/>
    <w:rsid w:val="00912592"/>
    <w:rsid w:val="009169B4"/>
    <w:rsid w:val="00920462"/>
    <w:rsid w:val="00936051"/>
    <w:rsid w:val="00944337"/>
    <w:rsid w:val="009574F2"/>
    <w:rsid w:val="00971B5E"/>
    <w:rsid w:val="0097226E"/>
    <w:rsid w:val="00980628"/>
    <w:rsid w:val="00982838"/>
    <w:rsid w:val="00985124"/>
    <w:rsid w:val="009A2040"/>
    <w:rsid w:val="009A2967"/>
    <w:rsid w:val="009A5F40"/>
    <w:rsid w:val="009B7557"/>
    <w:rsid w:val="009D66E5"/>
    <w:rsid w:val="009D7357"/>
    <w:rsid w:val="009E0DDD"/>
    <w:rsid w:val="009E6AFF"/>
    <w:rsid w:val="009F7E68"/>
    <w:rsid w:val="00A0481C"/>
    <w:rsid w:val="00A12F9A"/>
    <w:rsid w:val="00A139F2"/>
    <w:rsid w:val="00A16ECF"/>
    <w:rsid w:val="00A35485"/>
    <w:rsid w:val="00A56BB6"/>
    <w:rsid w:val="00A62FC4"/>
    <w:rsid w:val="00A91275"/>
    <w:rsid w:val="00AA0662"/>
    <w:rsid w:val="00AA124D"/>
    <w:rsid w:val="00AA3A5F"/>
    <w:rsid w:val="00AA593D"/>
    <w:rsid w:val="00AA63B9"/>
    <w:rsid w:val="00AB13D0"/>
    <w:rsid w:val="00AB39A0"/>
    <w:rsid w:val="00AB435B"/>
    <w:rsid w:val="00AB564E"/>
    <w:rsid w:val="00AB79C2"/>
    <w:rsid w:val="00AC0D5E"/>
    <w:rsid w:val="00AD7D6B"/>
    <w:rsid w:val="00B01CE9"/>
    <w:rsid w:val="00B125B8"/>
    <w:rsid w:val="00B25A22"/>
    <w:rsid w:val="00B25E86"/>
    <w:rsid w:val="00B3112E"/>
    <w:rsid w:val="00B319D3"/>
    <w:rsid w:val="00B36C72"/>
    <w:rsid w:val="00B41B70"/>
    <w:rsid w:val="00B431E0"/>
    <w:rsid w:val="00B54B07"/>
    <w:rsid w:val="00B56B8B"/>
    <w:rsid w:val="00B6034F"/>
    <w:rsid w:val="00B626BF"/>
    <w:rsid w:val="00B72342"/>
    <w:rsid w:val="00B725A8"/>
    <w:rsid w:val="00B770B4"/>
    <w:rsid w:val="00B87E14"/>
    <w:rsid w:val="00B90F45"/>
    <w:rsid w:val="00BA3366"/>
    <w:rsid w:val="00BA33FF"/>
    <w:rsid w:val="00BA3563"/>
    <w:rsid w:val="00BA63DF"/>
    <w:rsid w:val="00BB1301"/>
    <w:rsid w:val="00BB4FF8"/>
    <w:rsid w:val="00BC51CC"/>
    <w:rsid w:val="00BE11B5"/>
    <w:rsid w:val="00BF5B98"/>
    <w:rsid w:val="00C01E83"/>
    <w:rsid w:val="00C03E08"/>
    <w:rsid w:val="00C06675"/>
    <w:rsid w:val="00C104D5"/>
    <w:rsid w:val="00C11CEA"/>
    <w:rsid w:val="00C12022"/>
    <w:rsid w:val="00C2148F"/>
    <w:rsid w:val="00C25690"/>
    <w:rsid w:val="00C2596B"/>
    <w:rsid w:val="00C30173"/>
    <w:rsid w:val="00C32436"/>
    <w:rsid w:val="00C32636"/>
    <w:rsid w:val="00C35E53"/>
    <w:rsid w:val="00C65942"/>
    <w:rsid w:val="00C67A0F"/>
    <w:rsid w:val="00C74404"/>
    <w:rsid w:val="00C75051"/>
    <w:rsid w:val="00C77415"/>
    <w:rsid w:val="00C80140"/>
    <w:rsid w:val="00C87045"/>
    <w:rsid w:val="00C91401"/>
    <w:rsid w:val="00CA30F8"/>
    <w:rsid w:val="00CA3E6F"/>
    <w:rsid w:val="00CB2594"/>
    <w:rsid w:val="00CC3C9E"/>
    <w:rsid w:val="00CC4B63"/>
    <w:rsid w:val="00CD28B0"/>
    <w:rsid w:val="00CD7BC4"/>
    <w:rsid w:val="00CE74C6"/>
    <w:rsid w:val="00CF4AEF"/>
    <w:rsid w:val="00D06A69"/>
    <w:rsid w:val="00D2190C"/>
    <w:rsid w:val="00D23064"/>
    <w:rsid w:val="00D35880"/>
    <w:rsid w:val="00D45604"/>
    <w:rsid w:val="00D538FB"/>
    <w:rsid w:val="00D81379"/>
    <w:rsid w:val="00D818D6"/>
    <w:rsid w:val="00D832A5"/>
    <w:rsid w:val="00D84F23"/>
    <w:rsid w:val="00D94CCD"/>
    <w:rsid w:val="00DB56B7"/>
    <w:rsid w:val="00DB6AFE"/>
    <w:rsid w:val="00DC36F3"/>
    <w:rsid w:val="00DC3FF9"/>
    <w:rsid w:val="00DC6FCB"/>
    <w:rsid w:val="00DD69FE"/>
    <w:rsid w:val="00DE560B"/>
    <w:rsid w:val="00DF2B9D"/>
    <w:rsid w:val="00E032F8"/>
    <w:rsid w:val="00E04264"/>
    <w:rsid w:val="00E129A8"/>
    <w:rsid w:val="00E27551"/>
    <w:rsid w:val="00E34AE4"/>
    <w:rsid w:val="00E369F7"/>
    <w:rsid w:val="00E40087"/>
    <w:rsid w:val="00E57A20"/>
    <w:rsid w:val="00E666BE"/>
    <w:rsid w:val="00E6701E"/>
    <w:rsid w:val="00E70C51"/>
    <w:rsid w:val="00E771D8"/>
    <w:rsid w:val="00E90C27"/>
    <w:rsid w:val="00E95B82"/>
    <w:rsid w:val="00EB743D"/>
    <w:rsid w:val="00EC7259"/>
    <w:rsid w:val="00ED1960"/>
    <w:rsid w:val="00ED6797"/>
    <w:rsid w:val="00EE31DA"/>
    <w:rsid w:val="00F0724C"/>
    <w:rsid w:val="00F12EBD"/>
    <w:rsid w:val="00F320C9"/>
    <w:rsid w:val="00F45B5D"/>
    <w:rsid w:val="00F520E8"/>
    <w:rsid w:val="00F53496"/>
    <w:rsid w:val="00F673CE"/>
    <w:rsid w:val="00F807F5"/>
    <w:rsid w:val="00F86256"/>
    <w:rsid w:val="00F94185"/>
    <w:rsid w:val="00F9691D"/>
    <w:rsid w:val="00FC38C5"/>
    <w:rsid w:val="00FD6F12"/>
    <w:rsid w:val="00FE1255"/>
    <w:rsid w:val="00FE1ED5"/>
    <w:rsid w:val="00FE2789"/>
    <w:rsid w:val="00FE66D8"/>
    <w:rsid w:val="00FF31EB"/>
    <w:rsid w:val="00FF7FB8"/>
    <w:rsid w:val="1F26134E"/>
    <w:rsid w:val="63F241C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D0CF9A"/>
  <w15:chartTrackingRefBased/>
  <w15:docId w15:val="{013C613D-C564-FA4B-AE46-F10EBE18A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5B98"/>
    <w:pPr>
      <w:spacing w:after="0" w:line="240" w:lineRule="auto"/>
      <w:jc w:val="both"/>
    </w:pPr>
    <w:rPr>
      <w:rFonts w:ascii="Times New Roman" w:hAnsi="Times New Roman"/>
      <w:sz w:val="24"/>
    </w:rPr>
  </w:style>
  <w:style w:type="paragraph" w:styleId="Nadpis1">
    <w:name w:val="heading 1"/>
    <w:aliases w:val="A Nadpis 1"/>
    <w:basedOn w:val="Normln"/>
    <w:next w:val="Normln"/>
    <w:link w:val="Nadpis1Char"/>
    <w:qFormat/>
    <w:rsid w:val="00A139F2"/>
    <w:pPr>
      <w:keepNext/>
      <w:keepLines/>
      <w:numPr>
        <w:numId w:val="1"/>
      </w:numPr>
      <w:spacing w:before="120" w:after="120"/>
      <w:ind w:left="431" w:hanging="431"/>
      <w:outlineLvl w:val="0"/>
    </w:pPr>
    <w:rPr>
      <w:rFonts w:eastAsiaTheme="majorEastAsia" w:cs="Times New Roman"/>
      <w:b/>
      <w:bCs/>
      <w:sz w:val="28"/>
      <w:szCs w:val="32"/>
      <w:lang w:val="cs-CZ"/>
    </w:rPr>
  </w:style>
  <w:style w:type="paragraph" w:styleId="Nadpis2">
    <w:name w:val="heading 2"/>
    <w:aliases w:val="A Nadpis 2"/>
    <w:basedOn w:val="Normln"/>
    <w:next w:val="Normln"/>
    <w:link w:val="Nadpis2Char"/>
    <w:uiPriority w:val="9"/>
    <w:unhideWhenUsed/>
    <w:qFormat/>
    <w:rsid w:val="00A139F2"/>
    <w:pPr>
      <w:keepNext/>
      <w:keepLines/>
      <w:numPr>
        <w:ilvl w:val="1"/>
        <w:numId w:val="1"/>
      </w:numPr>
      <w:spacing w:before="120" w:after="120"/>
      <w:ind w:left="578" w:hanging="578"/>
      <w:outlineLvl w:val="1"/>
    </w:pPr>
    <w:rPr>
      <w:rFonts w:eastAsiaTheme="majorEastAsia" w:cs="Times New Roman"/>
      <w:b/>
      <w:bCs/>
      <w:sz w:val="26"/>
      <w:szCs w:val="28"/>
      <w:lang w:val="cs-CZ"/>
    </w:rPr>
  </w:style>
  <w:style w:type="paragraph" w:styleId="Nadpis3">
    <w:name w:val="heading 3"/>
    <w:aliases w:val="A Nadpis 3"/>
    <w:basedOn w:val="Normln"/>
    <w:next w:val="Normln"/>
    <w:link w:val="Nadpis3Char"/>
    <w:uiPriority w:val="9"/>
    <w:unhideWhenUsed/>
    <w:qFormat/>
    <w:rsid w:val="00A139F2"/>
    <w:pPr>
      <w:keepNext/>
      <w:keepLines/>
      <w:numPr>
        <w:ilvl w:val="2"/>
        <w:numId w:val="1"/>
      </w:numPr>
      <w:spacing w:before="120" w:after="120"/>
      <w:outlineLvl w:val="2"/>
    </w:pPr>
    <w:rPr>
      <w:rFonts w:eastAsiaTheme="majorEastAsia" w:cstheme="majorBidi"/>
      <w:b/>
      <w:bCs/>
      <w:szCs w:val="26"/>
    </w:rPr>
  </w:style>
  <w:style w:type="paragraph" w:styleId="Nadpis4">
    <w:name w:val="heading 4"/>
    <w:basedOn w:val="Normln"/>
    <w:next w:val="Normln"/>
    <w:link w:val="Nadpis4Char"/>
    <w:uiPriority w:val="9"/>
    <w:unhideWhenUsed/>
    <w:qFormat/>
    <w:rsid w:val="006752D6"/>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nhideWhenUsed/>
    <w:qFormat/>
    <w:rsid w:val="00B87E14"/>
    <w:pPr>
      <w:keepNext/>
      <w:keepLines/>
      <w:numPr>
        <w:ilvl w:val="4"/>
        <w:numId w:val="1"/>
      </w:numPr>
      <w:spacing w:before="40" w:after="120" w:line="276" w:lineRule="auto"/>
      <w:outlineLvl w:val="4"/>
    </w:pPr>
    <w:rPr>
      <w:rFonts w:ascii="Arial" w:eastAsiaTheme="majorEastAsia" w:hAnsi="Arial" w:cstheme="majorBidi"/>
      <w:sz w:val="28"/>
      <w:szCs w:val="24"/>
      <w:lang w:val="cs-CZ"/>
    </w:rPr>
  </w:style>
  <w:style w:type="paragraph" w:styleId="Nadpis6">
    <w:name w:val="heading 6"/>
    <w:basedOn w:val="Normln"/>
    <w:next w:val="Normln"/>
    <w:link w:val="Nadpis6Char"/>
    <w:uiPriority w:val="9"/>
    <w:semiHidden/>
    <w:unhideWhenUsed/>
    <w:qFormat/>
    <w:rsid w:val="00034B70"/>
    <w:pPr>
      <w:keepNext/>
      <w:keepLines/>
      <w:numPr>
        <w:ilvl w:val="5"/>
        <w:numId w:val="1"/>
      </w:numPr>
      <w:spacing w:before="40"/>
      <w:outlineLvl w:val="5"/>
    </w:pPr>
    <w:rPr>
      <w:rFonts w:eastAsiaTheme="majorEastAsia" w:cstheme="majorBidi"/>
      <w:b/>
      <w:i/>
      <w:color w:val="385623" w:themeColor="accent6" w:themeShade="80"/>
    </w:rPr>
  </w:style>
  <w:style w:type="paragraph" w:styleId="Nadpis7">
    <w:name w:val="heading 7"/>
    <w:basedOn w:val="Normln"/>
    <w:next w:val="Normln"/>
    <w:link w:val="Nadpis7Char"/>
    <w:unhideWhenUsed/>
    <w:qFormat/>
    <w:rsid w:val="00B87E14"/>
    <w:pPr>
      <w:keepNext/>
      <w:keepLines/>
      <w:numPr>
        <w:ilvl w:val="6"/>
        <w:numId w:val="1"/>
      </w:numPr>
      <w:spacing w:before="240" w:after="120" w:line="276" w:lineRule="auto"/>
      <w:jc w:val="center"/>
      <w:outlineLvl w:val="6"/>
    </w:pPr>
    <w:rPr>
      <w:rFonts w:eastAsiaTheme="majorEastAsia" w:cstheme="majorBidi"/>
      <w:i/>
      <w:iCs/>
      <w:color w:val="525252" w:themeColor="accent3" w:themeShade="80"/>
      <w:szCs w:val="24"/>
      <w:lang w:val="cs-CZ"/>
    </w:rPr>
  </w:style>
  <w:style w:type="paragraph" w:styleId="Nadpis8">
    <w:name w:val="heading 8"/>
    <w:basedOn w:val="Normln"/>
    <w:next w:val="Normln"/>
    <w:link w:val="Nadpis8Char"/>
    <w:uiPriority w:val="9"/>
    <w:semiHidden/>
    <w:unhideWhenUsed/>
    <w:qFormat/>
    <w:rsid w:val="006752D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6752D6"/>
    <w:pPr>
      <w:keepNext/>
      <w:keepLines/>
      <w:numPr>
        <w:ilvl w:val="8"/>
        <w:numId w:val="1"/>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ormaltextrun">
    <w:name w:val="normaltextrun"/>
    <w:basedOn w:val="Standardnpsmoodstavce"/>
    <w:rsid w:val="00B87E14"/>
  </w:style>
  <w:style w:type="paragraph" w:styleId="Textbubliny">
    <w:name w:val="Balloon Text"/>
    <w:basedOn w:val="Normln"/>
    <w:link w:val="TextbublinyChar"/>
    <w:uiPriority w:val="99"/>
    <w:semiHidden/>
    <w:unhideWhenUsed/>
    <w:rsid w:val="00B87E14"/>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87E14"/>
    <w:rPr>
      <w:rFonts w:ascii="Segoe UI" w:hAnsi="Segoe UI" w:cs="Segoe UI"/>
      <w:sz w:val="18"/>
      <w:szCs w:val="18"/>
    </w:rPr>
  </w:style>
  <w:style w:type="character" w:customStyle="1" w:styleId="Nadpis5Char">
    <w:name w:val="Nadpis 5 Char"/>
    <w:basedOn w:val="Standardnpsmoodstavce"/>
    <w:link w:val="Nadpis5"/>
    <w:rsid w:val="00B87E14"/>
    <w:rPr>
      <w:rFonts w:ascii="Arial" w:eastAsiaTheme="majorEastAsia" w:hAnsi="Arial" w:cstheme="majorBidi"/>
      <w:sz w:val="28"/>
      <w:szCs w:val="24"/>
      <w:lang w:val="cs-CZ"/>
    </w:rPr>
  </w:style>
  <w:style w:type="character" w:customStyle="1" w:styleId="Nadpis7Char">
    <w:name w:val="Nadpis 7 Char"/>
    <w:basedOn w:val="Standardnpsmoodstavce"/>
    <w:link w:val="Nadpis7"/>
    <w:rsid w:val="00B87E14"/>
    <w:rPr>
      <w:rFonts w:ascii="Times New Roman" w:eastAsiaTheme="majorEastAsia" w:hAnsi="Times New Roman" w:cstheme="majorBidi"/>
      <w:i/>
      <w:iCs/>
      <w:color w:val="525252" w:themeColor="accent3" w:themeShade="80"/>
      <w:sz w:val="24"/>
      <w:szCs w:val="24"/>
      <w:lang w:val="cs-CZ"/>
    </w:rPr>
  </w:style>
  <w:style w:type="paragraph" w:styleId="Odstavecseseznamem">
    <w:name w:val="List Paragraph"/>
    <w:aliases w:val="List Paragraph compact,Normal bullet 2,Paragraphe de liste 2,Reference list,Bullet list,Numbered List,List Paragraph1,1st level - Bullet List Paragraph,Lettre d'introduction,Paragraph,Bullet EY,List Paragraph11,Normal bullet 21,Nad"/>
    <w:basedOn w:val="Normln"/>
    <w:link w:val="OdstavecseseznamemChar"/>
    <w:uiPriority w:val="34"/>
    <w:qFormat/>
    <w:rsid w:val="00164CBE"/>
    <w:pPr>
      <w:spacing w:line="276" w:lineRule="auto"/>
      <w:ind w:left="720"/>
      <w:contextualSpacing/>
    </w:pPr>
    <w:rPr>
      <w:rFonts w:eastAsia="Calibri" w:cs="Times New Roman"/>
      <w:szCs w:val="24"/>
      <w:lang w:val="cs-CZ"/>
    </w:rPr>
  </w:style>
  <w:style w:type="paragraph" w:styleId="Textpoznpodarou">
    <w:name w:val="footnote text"/>
    <w:aliases w:val="Char1,Schriftart: 9 pt,Schriftart: 10 pt,Schriftart: 8 pt,Text poznámky pod čiarou 007,Footnote,Fußnotentextf,Geneva 9,Font: Geneva 9,Boston 10,f,pozn. pod čarou,Text pozn. pod čarou1,Char Char Char1,Footnote Text Char1,o, Char1,fn"/>
    <w:basedOn w:val="Normln"/>
    <w:link w:val="TextpoznpodarouChar"/>
    <w:qFormat/>
    <w:rsid w:val="00B87E14"/>
    <w:rPr>
      <w:rFonts w:eastAsia="Calibri" w:cs="Times New Roman"/>
      <w:sz w:val="20"/>
      <w:szCs w:val="20"/>
      <w:lang w:val="cs-CZ"/>
    </w:rPr>
  </w:style>
  <w:style w:type="character" w:customStyle="1" w:styleId="TextpoznpodarouChar">
    <w:name w:val="Text pozn. pod čarou Char"/>
    <w:aliases w:val="Char1 Char,Schriftart: 9 pt Char,Schriftart: 10 pt Char,Schriftart: 8 pt Char,Text poznámky pod čiarou 007 Char,Footnote Char,Fußnotentextf Char,Geneva 9 Char,Font: Geneva 9 Char,Boston 10 Char,f Char,pozn. pod čarou Char"/>
    <w:basedOn w:val="Standardnpsmoodstavce"/>
    <w:link w:val="Textpoznpodarou"/>
    <w:qFormat/>
    <w:rsid w:val="00B87E14"/>
    <w:rPr>
      <w:rFonts w:ascii="Times New Roman" w:eastAsia="Calibri" w:hAnsi="Times New Roman" w:cs="Times New Roman"/>
      <w:sz w:val="20"/>
      <w:szCs w:val="20"/>
      <w:lang w:val="cs-CZ"/>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Légende.Char Car Car Car Car"/>
    <w:basedOn w:val="Standardnpsmoodstavce"/>
    <w:qFormat/>
    <w:rsid w:val="00B87E14"/>
    <w:rPr>
      <w:rFonts w:cs="Times New Roman"/>
      <w:vertAlign w:val="superscript"/>
    </w:rPr>
  </w:style>
  <w:style w:type="character" w:styleId="Odkaznakoment">
    <w:name w:val="annotation reference"/>
    <w:basedOn w:val="Standardnpsmoodstavce"/>
    <w:uiPriority w:val="99"/>
    <w:unhideWhenUsed/>
    <w:rsid w:val="00B87E14"/>
    <w:rPr>
      <w:sz w:val="16"/>
      <w:szCs w:val="16"/>
    </w:rPr>
  </w:style>
  <w:style w:type="paragraph" w:styleId="Textkomente">
    <w:name w:val="annotation text"/>
    <w:basedOn w:val="Normln"/>
    <w:link w:val="TextkomenteChar"/>
    <w:uiPriority w:val="99"/>
    <w:unhideWhenUsed/>
    <w:rsid w:val="00B87E14"/>
    <w:pPr>
      <w:spacing w:after="120"/>
    </w:pPr>
    <w:rPr>
      <w:rFonts w:eastAsia="Calibri" w:cs="Times New Roman"/>
      <w:sz w:val="20"/>
      <w:szCs w:val="20"/>
      <w:lang w:val="cs-CZ"/>
    </w:rPr>
  </w:style>
  <w:style w:type="character" w:customStyle="1" w:styleId="TextkomenteChar">
    <w:name w:val="Text komentáře Char"/>
    <w:basedOn w:val="Standardnpsmoodstavce"/>
    <w:link w:val="Textkomente"/>
    <w:uiPriority w:val="99"/>
    <w:rsid w:val="00B87E14"/>
    <w:rPr>
      <w:rFonts w:ascii="Times New Roman" w:eastAsia="Calibri" w:hAnsi="Times New Roman" w:cs="Times New Roman"/>
      <w:sz w:val="20"/>
      <w:szCs w:val="20"/>
      <w:lang w:val="cs-CZ"/>
    </w:rPr>
  </w:style>
  <w:style w:type="paragraph" w:customStyle="1" w:styleId="ManualNumPar1">
    <w:name w:val="Manual NumPar 1"/>
    <w:basedOn w:val="Normln"/>
    <w:next w:val="Normln"/>
    <w:rsid w:val="00B87E14"/>
    <w:pPr>
      <w:spacing w:before="120" w:after="120"/>
      <w:ind w:left="850" w:hanging="850"/>
    </w:pPr>
    <w:rPr>
      <w:rFonts w:cs="Times New Roman"/>
      <w:lang w:val="cs-CZ"/>
    </w:rPr>
  </w:style>
  <w:style w:type="paragraph" w:customStyle="1" w:styleId="Titrearticle">
    <w:name w:val="Titre article"/>
    <w:basedOn w:val="Normln"/>
    <w:next w:val="Normln"/>
    <w:rsid w:val="00B87E14"/>
    <w:pPr>
      <w:keepNext/>
      <w:spacing w:before="360" w:after="120"/>
      <w:jc w:val="center"/>
    </w:pPr>
    <w:rPr>
      <w:rFonts w:cs="Times New Roman"/>
      <w:i/>
      <w:lang w:val="cs-CZ"/>
    </w:rPr>
  </w:style>
  <w:style w:type="paragraph" w:customStyle="1" w:styleId="Point1">
    <w:name w:val="Point 1"/>
    <w:basedOn w:val="Normln"/>
    <w:rsid w:val="00B87E14"/>
    <w:pPr>
      <w:spacing w:before="120" w:after="120"/>
      <w:ind w:left="1417" w:hanging="567"/>
    </w:pPr>
    <w:rPr>
      <w:rFonts w:cs="Times New Roman"/>
      <w:lang w:val="cs-CZ"/>
    </w:rPr>
  </w:style>
  <w:style w:type="paragraph" w:customStyle="1" w:styleId="ManualConsidrant">
    <w:name w:val="Manual Considérant"/>
    <w:basedOn w:val="Normln"/>
    <w:rsid w:val="00B87E14"/>
    <w:pPr>
      <w:spacing w:before="120" w:after="120"/>
      <w:ind w:left="709" w:hanging="709"/>
    </w:pPr>
    <w:rPr>
      <w:rFonts w:cs="Times New Roman"/>
      <w:lang w:val="cs-CZ"/>
    </w:rPr>
  </w:style>
  <w:style w:type="paragraph" w:customStyle="1" w:styleId="Point2">
    <w:name w:val="Point 2"/>
    <w:basedOn w:val="Normln"/>
    <w:rsid w:val="00B87E14"/>
    <w:pPr>
      <w:spacing w:before="120" w:after="120"/>
      <w:ind w:left="1984" w:hanging="567"/>
    </w:pPr>
    <w:rPr>
      <w:rFonts w:cs="Times New Roman"/>
      <w:lang w:val="cs-CZ"/>
    </w:rPr>
  </w:style>
  <w:style w:type="paragraph" w:customStyle="1" w:styleId="Text1">
    <w:name w:val="Text 1"/>
    <w:basedOn w:val="Normln"/>
    <w:rsid w:val="00B87E14"/>
    <w:pPr>
      <w:spacing w:before="120" w:after="120"/>
      <w:ind w:left="850"/>
    </w:pPr>
    <w:rPr>
      <w:rFonts w:cs="Times New Roman"/>
      <w:szCs w:val="24"/>
    </w:rPr>
  </w:style>
  <w:style w:type="character" w:styleId="Siln">
    <w:name w:val="Strong"/>
    <w:basedOn w:val="Standardnpsmoodstavce"/>
    <w:uiPriority w:val="22"/>
    <w:qFormat/>
    <w:rsid w:val="00B87E14"/>
    <w:rPr>
      <w:b/>
      <w:bCs/>
    </w:rPr>
  </w:style>
  <w:style w:type="character" w:customStyle="1" w:styleId="OdstavecseseznamemChar">
    <w:name w:val="Odstavec se seznamem Char"/>
    <w:aliases w:val="List Paragraph compact Char,Normal bullet 2 Char,Paragraphe de liste 2 Char,Reference list Char,Bullet list Char,Numbered List Char,List Paragraph1 Char,1st level - Bullet List Paragraph Char,Lettre d'introduction Char,Nad Char"/>
    <w:link w:val="Odstavecseseznamem"/>
    <w:uiPriority w:val="34"/>
    <w:qFormat/>
    <w:locked/>
    <w:rsid w:val="00164CBE"/>
    <w:rPr>
      <w:rFonts w:ascii="Times New Roman" w:eastAsia="Calibri" w:hAnsi="Times New Roman" w:cs="Times New Roman"/>
      <w:sz w:val="24"/>
      <w:szCs w:val="24"/>
      <w:lang w:val="cs-CZ"/>
    </w:rPr>
  </w:style>
  <w:style w:type="paragraph" w:styleId="Zhlav">
    <w:name w:val="header"/>
    <w:basedOn w:val="Normln"/>
    <w:link w:val="ZhlavChar"/>
    <w:uiPriority w:val="99"/>
    <w:unhideWhenUsed/>
    <w:rsid w:val="00B87E14"/>
    <w:pPr>
      <w:tabs>
        <w:tab w:val="center" w:pos="4513"/>
        <w:tab w:val="right" w:pos="9026"/>
      </w:tabs>
    </w:pPr>
  </w:style>
  <w:style w:type="character" w:customStyle="1" w:styleId="ZhlavChar">
    <w:name w:val="Záhlaví Char"/>
    <w:basedOn w:val="Standardnpsmoodstavce"/>
    <w:link w:val="Zhlav"/>
    <w:uiPriority w:val="99"/>
    <w:rsid w:val="00B87E14"/>
    <w:rPr>
      <w:rFonts w:ascii="Times New Roman" w:hAnsi="Times New Roman"/>
      <w:sz w:val="24"/>
    </w:rPr>
  </w:style>
  <w:style w:type="paragraph" w:styleId="Zpat">
    <w:name w:val="footer"/>
    <w:basedOn w:val="Normln"/>
    <w:link w:val="ZpatChar"/>
    <w:uiPriority w:val="99"/>
    <w:unhideWhenUsed/>
    <w:rsid w:val="00B87E14"/>
    <w:pPr>
      <w:tabs>
        <w:tab w:val="center" w:pos="4513"/>
        <w:tab w:val="right" w:pos="9026"/>
      </w:tabs>
    </w:pPr>
  </w:style>
  <w:style w:type="character" w:customStyle="1" w:styleId="ZpatChar">
    <w:name w:val="Zápatí Char"/>
    <w:basedOn w:val="Standardnpsmoodstavce"/>
    <w:link w:val="Zpat"/>
    <w:uiPriority w:val="99"/>
    <w:rsid w:val="00B87E14"/>
    <w:rPr>
      <w:rFonts w:ascii="Times New Roman" w:hAnsi="Times New Roman"/>
      <w:sz w:val="24"/>
    </w:rPr>
  </w:style>
  <w:style w:type="character" w:customStyle="1" w:styleId="Nadpis1Char">
    <w:name w:val="Nadpis 1 Char"/>
    <w:aliases w:val="A Nadpis 1 Char"/>
    <w:basedOn w:val="Standardnpsmoodstavce"/>
    <w:link w:val="Nadpis1"/>
    <w:rsid w:val="00A139F2"/>
    <w:rPr>
      <w:rFonts w:ascii="Times New Roman" w:eastAsiaTheme="majorEastAsia" w:hAnsi="Times New Roman" w:cs="Times New Roman"/>
      <w:b/>
      <w:bCs/>
      <w:sz w:val="28"/>
      <w:szCs w:val="32"/>
      <w:lang w:val="cs-CZ"/>
    </w:rPr>
  </w:style>
  <w:style w:type="character" w:customStyle="1" w:styleId="Nadpis2Char">
    <w:name w:val="Nadpis 2 Char"/>
    <w:aliases w:val="A Nadpis 2 Char"/>
    <w:basedOn w:val="Standardnpsmoodstavce"/>
    <w:link w:val="Nadpis2"/>
    <w:uiPriority w:val="9"/>
    <w:rsid w:val="00A139F2"/>
    <w:rPr>
      <w:rFonts w:ascii="Times New Roman" w:eastAsiaTheme="majorEastAsia" w:hAnsi="Times New Roman" w:cs="Times New Roman"/>
      <w:b/>
      <w:bCs/>
      <w:sz w:val="26"/>
      <w:szCs w:val="28"/>
      <w:lang w:val="cs-CZ"/>
    </w:rPr>
  </w:style>
  <w:style w:type="character" w:customStyle="1" w:styleId="Nadpis3Char">
    <w:name w:val="Nadpis 3 Char"/>
    <w:aliases w:val="A Nadpis 3 Char"/>
    <w:basedOn w:val="Standardnpsmoodstavce"/>
    <w:link w:val="Nadpis3"/>
    <w:uiPriority w:val="9"/>
    <w:rsid w:val="00A139F2"/>
    <w:rPr>
      <w:rFonts w:ascii="Times New Roman" w:eastAsiaTheme="majorEastAsia" w:hAnsi="Times New Roman" w:cstheme="majorBidi"/>
      <w:b/>
      <w:bCs/>
      <w:sz w:val="24"/>
      <w:szCs w:val="26"/>
    </w:rPr>
  </w:style>
  <w:style w:type="paragraph" w:styleId="Nadpisobsahu">
    <w:name w:val="TOC Heading"/>
    <w:basedOn w:val="Nadpis1"/>
    <w:next w:val="Normln"/>
    <w:uiPriority w:val="39"/>
    <w:unhideWhenUsed/>
    <w:qFormat/>
    <w:rsid w:val="0000288B"/>
    <w:pPr>
      <w:spacing w:line="259" w:lineRule="auto"/>
      <w:jc w:val="left"/>
      <w:outlineLvl w:val="9"/>
    </w:pPr>
    <w:rPr>
      <w:rFonts w:asciiTheme="majorHAnsi" w:hAnsiTheme="majorHAnsi" w:cstheme="majorBidi"/>
      <w:b w:val="0"/>
      <w:bCs w:val="0"/>
      <w:color w:val="2F5496" w:themeColor="accent1" w:themeShade="BF"/>
      <w:lang w:eastAsia="cs-CZ"/>
    </w:rPr>
  </w:style>
  <w:style w:type="paragraph" w:styleId="Obsah1">
    <w:name w:val="toc 1"/>
    <w:basedOn w:val="Normln"/>
    <w:next w:val="Normln"/>
    <w:autoRedefine/>
    <w:uiPriority w:val="39"/>
    <w:unhideWhenUsed/>
    <w:rsid w:val="00C74404"/>
    <w:pPr>
      <w:spacing w:before="120" w:after="120"/>
      <w:jc w:val="left"/>
    </w:pPr>
    <w:rPr>
      <w:b/>
      <w:bCs/>
      <w:caps/>
      <w:sz w:val="20"/>
      <w:szCs w:val="20"/>
    </w:rPr>
  </w:style>
  <w:style w:type="paragraph" w:styleId="Obsah3">
    <w:name w:val="toc 3"/>
    <w:basedOn w:val="Normln"/>
    <w:next w:val="Normln"/>
    <w:autoRedefine/>
    <w:uiPriority w:val="39"/>
    <w:unhideWhenUsed/>
    <w:rsid w:val="00C74404"/>
    <w:pPr>
      <w:ind w:left="480"/>
      <w:jc w:val="left"/>
    </w:pPr>
    <w:rPr>
      <w:iCs/>
      <w:sz w:val="20"/>
      <w:szCs w:val="20"/>
    </w:rPr>
  </w:style>
  <w:style w:type="character" w:styleId="Hypertextovodkaz">
    <w:name w:val="Hyperlink"/>
    <w:basedOn w:val="Standardnpsmoodstavce"/>
    <w:uiPriority w:val="99"/>
    <w:unhideWhenUsed/>
    <w:rsid w:val="0000288B"/>
    <w:rPr>
      <w:color w:val="0563C1" w:themeColor="hyperlink"/>
      <w:u w:val="single"/>
    </w:rPr>
  </w:style>
  <w:style w:type="character" w:customStyle="1" w:styleId="Nadpis6Char">
    <w:name w:val="Nadpis 6 Char"/>
    <w:basedOn w:val="Standardnpsmoodstavce"/>
    <w:link w:val="Nadpis6"/>
    <w:uiPriority w:val="9"/>
    <w:semiHidden/>
    <w:rsid w:val="00034B70"/>
    <w:rPr>
      <w:rFonts w:ascii="Times New Roman" w:eastAsiaTheme="majorEastAsia" w:hAnsi="Times New Roman" w:cstheme="majorBidi"/>
      <w:b/>
      <w:i/>
      <w:color w:val="385623" w:themeColor="accent6" w:themeShade="80"/>
      <w:sz w:val="24"/>
    </w:rPr>
  </w:style>
  <w:style w:type="paragraph" w:styleId="Titulek">
    <w:name w:val="caption"/>
    <w:basedOn w:val="Normln"/>
    <w:next w:val="Normln"/>
    <w:uiPriority w:val="35"/>
    <w:qFormat/>
    <w:rsid w:val="0000288B"/>
    <w:pPr>
      <w:keepNext/>
      <w:spacing w:after="120"/>
    </w:pPr>
    <w:rPr>
      <w:rFonts w:eastAsia="Calibri" w:cs="Times New Roman"/>
      <w:b/>
      <w:bCs/>
      <w:szCs w:val="20"/>
      <w:lang w:val="cs-CZ"/>
    </w:rPr>
  </w:style>
  <w:style w:type="paragraph" w:customStyle="1" w:styleId="Zdroj">
    <w:name w:val="Zdroj"/>
    <w:basedOn w:val="Normln"/>
    <w:qFormat/>
    <w:rsid w:val="0000288B"/>
    <w:pPr>
      <w:spacing w:after="120"/>
    </w:pPr>
    <w:rPr>
      <w:rFonts w:eastAsia="Calibri" w:cs="Times New Roman"/>
      <w:i/>
      <w:iCs/>
      <w:sz w:val="20"/>
      <w:szCs w:val="24"/>
      <w:lang w:val="cs-CZ"/>
    </w:rPr>
  </w:style>
  <w:style w:type="table" w:styleId="Tmavtabulkasmkou5zvraznn3">
    <w:name w:val="Grid Table 5 Dark Accent 3"/>
    <w:basedOn w:val="Normlntabulka"/>
    <w:uiPriority w:val="50"/>
    <w:rsid w:val="0000288B"/>
    <w:pPr>
      <w:spacing w:after="0" w:line="240" w:lineRule="auto"/>
    </w:pPr>
    <w:rPr>
      <w:rFonts w:ascii="Calibri" w:eastAsia="Calibri" w:hAnsi="Calibri" w:cs="Times New Roman"/>
      <w:lang w:val="cs-CZ" w:eastAsia="cs-CZ"/>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Default">
    <w:name w:val="Default"/>
    <w:rsid w:val="0000288B"/>
    <w:pPr>
      <w:autoSpaceDE w:val="0"/>
      <w:autoSpaceDN w:val="0"/>
      <w:adjustRightInd w:val="0"/>
      <w:spacing w:after="0" w:line="240" w:lineRule="auto"/>
    </w:pPr>
    <w:rPr>
      <w:rFonts w:ascii="Times New Roman" w:eastAsiaTheme="minorEastAsia" w:hAnsi="Times New Roman" w:cs="Times New Roman"/>
      <w:color w:val="000000"/>
      <w:sz w:val="24"/>
      <w:szCs w:val="24"/>
      <w:lang w:val="cs-CZ"/>
    </w:rPr>
  </w:style>
  <w:style w:type="paragraph" w:styleId="Obsah2">
    <w:name w:val="toc 2"/>
    <w:basedOn w:val="Normln"/>
    <w:next w:val="Normln"/>
    <w:autoRedefine/>
    <w:uiPriority w:val="39"/>
    <w:unhideWhenUsed/>
    <w:rsid w:val="00C74404"/>
    <w:pPr>
      <w:ind w:left="240"/>
      <w:jc w:val="left"/>
    </w:pPr>
    <w:rPr>
      <w:smallCaps/>
      <w:sz w:val="20"/>
      <w:szCs w:val="20"/>
    </w:rPr>
  </w:style>
  <w:style w:type="paragraph" w:styleId="Pedmtkomente">
    <w:name w:val="annotation subject"/>
    <w:basedOn w:val="Textkomente"/>
    <w:next w:val="Textkomente"/>
    <w:link w:val="PedmtkomenteChar"/>
    <w:uiPriority w:val="99"/>
    <w:semiHidden/>
    <w:unhideWhenUsed/>
    <w:rsid w:val="00CF4AEF"/>
    <w:pPr>
      <w:spacing w:after="0"/>
    </w:pPr>
    <w:rPr>
      <w:rFonts w:eastAsiaTheme="minorHAnsi" w:cstheme="minorBidi"/>
      <w:b/>
      <w:bCs/>
      <w:lang w:val="en-GB"/>
    </w:rPr>
  </w:style>
  <w:style w:type="character" w:customStyle="1" w:styleId="PedmtkomenteChar">
    <w:name w:val="Předmět komentáře Char"/>
    <w:basedOn w:val="TextkomenteChar"/>
    <w:link w:val="Pedmtkomente"/>
    <w:uiPriority w:val="99"/>
    <w:semiHidden/>
    <w:rsid w:val="00CF4AEF"/>
    <w:rPr>
      <w:rFonts w:ascii="Times New Roman" w:eastAsia="Calibri" w:hAnsi="Times New Roman" w:cs="Times New Roman"/>
      <w:b/>
      <w:bCs/>
      <w:sz w:val="20"/>
      <w:szCs w:val="20"/>
      <w:lang w:val="cs-CZ"/>
    </w:rPr>
  </w:style>
  <w:style w:type="character" w:customStyle="1" w:styleId="shorttext">
    <w:name w:val="short_text"/>
    <w:basedOn w:val="Standardnpsmoodstavce"/>
    <w:rsid w:val="00130FD1"/>
  </w:style>
  <w:style w:type="character" w:styleId="PromnnHTML">
    <w:name w:val="HTML Variable"/>
    <w:basedOn w:val="Standardnpsmoodstavce"/>
    <w:uiPriority w:val="99"/>
    <w:semiHidden/>
    <w:unhideWhenUsed/>
    <w:rsid w:val="00130FD1"/>
    <w:rPr>
      <w:i/>
      <w:iCs/>
    </w:rPr>
  </w:style>
  <w:style w:type="paragraph" w:customStyle="1" w:styleId="TabPramZprac">
    <w:name w:val="TabPramZprac"/>
    <w:basedOn w:val="Normln"/>
    <w:next w:val="Normln"/>
    <w:link w:val="TabPramZpracChar"/>
    <w:rsid w:val="00130FD1"/>
    <w:pPr>
      <w:keepNext/>
      <w:ind w:left="851" w:hanging="851"/>
    </w:pPr>
    <w:rPr>
      <w:rFonts w:ascii="Arial" w:eastAsia="Times New Roman" w:hAnsi="Arial" w:cs="Arial"/>
      <w:i/>
      <w:iCs/>
      <w:sz w:val="16"/>
      <w:szCs w:val="15"/>
      <w:lang w:val="x-none" w:eastAsia="x-none"/>
    </w:rPr>
  </w:style>
  <w:style w:type="character" w:customStyle="1" w:styleId="TabPramZpracChar">
    <w:name w:val="TabPramZprac Char"/>
    <w:link w:val="TabPramZprac"/>
    <w:rsid w:val="00130FD1"/>
    <w:rPr>
      <w:rFonts w:ascii="Arial" w:eastAsia="Times New Roman" w:hAnsi="Arial" w:cs="Arial"/>
      <w:i/>
      <w:iCs/>
      <w:sz w:val="16"/>
      <w:szCs w:val="15"/>
      <w:lang w:val="x-none" w:eastAsia="x-none"/>
    </w:rPr>
  </w:style>
  <w:style w:type="character" w:customStyle="1" w:styleId="Nadpis4Char">
    <w:name w:val="Nadpis 4 Char"/>
    <w:basedOn w:val="Standardnpsmoodstavce"/>
    <w:link w:val="Nadpis4"/>
    <w:uiPriority w:val="9"/>
    <w:rsid w:val="006752D6"/>
    <w:rPr>
      <w:rFonts w:asciiTheme="majorHAnsi" w:eastAsiaTheme="majorEastAsia" w:hAnsiTheme="majorHAnsi" w:cstheme="majorBidi"/>
      <w:i/>
      <w:iCs/>
      <w:color w:val="2F5496" w:themeColor="accent1" w:themeShade="BF"/>
      <w:sz w:val="24"/>
    </w:rPr>
  </w:style>
  <w:style w:type="character" w:customStyle="1" w:styleId="Nadpis8Char">
    <w:name w:val="Nadpis 8 Char"/>
    <w:basedOn w:val="Standardnpsmoodstavce"/>
    <w:link w:val="Nadpis8"/>
    <w:uiPriority w:val="9"/>
    <w:semiHidden/>
    <w:rsid w:val="006752D6"/>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6752D6"/>
    <w:rPr>
      <w:rFonts w:asciiTheme="majorHAnsi" w:eastAsiaTheme="majorEastAsia" w:hAnsiTheme="majorHAnsi" w:cstheme="majorBidi"/>
      <w:i/>
      <w:iCs/>
      <w:color w:val="272727" w:themeColor="text1" w:themeTint="D8"/>
      <w:sz w:val="21"/>
      <w:szCs w:val="21"/>
    </w:rPr>
  </w:style>
  <w:style w:type="paragraph" w:styleId="Podnadpis">
    <w:name w:val="Subtitle"/>
    <w:basedOn w:val="Normln"/>
    <w:next w:val="Normln"/>
    <w:link w:val="PodnadpisChar"/>
    <w:uiPriority w:val="11"/>
    <w:qFormat/>
    <w:rsid w:val="00C35E53"/>
    <w:pPr>
      <w:numPr>
        <w:ilvl w:val="1"/>
      </w:numPr>
      <w:spacing w:after="160"/>
      <w:jc w:val="center"/>
    </w:pPr>
    <w:rPr>
      <w:rFonts w:eastAsiaTheme="minorEastAsia"/>
      <w:i/>
      <w:noProof/>
      <w:color w:val="000000" w:themeColor="text1"/>
      <w:spacing w:val="15"/>
    </w:rPr>
  </w:style>
  <w:style w:type="character" w:customStyle="1" w:styleId="PodnadpisChar">
    <w:name w:val="Podnadpis Char"/>
    <w:basedOn w:val="Standardnpsmoodstavce"/>
    <w:link w:val="Podnadpis"/>
    <w:uiPriority w:val="11"/>
    <w:rsid w:val="00C35E53"/>
    <w:rPr>
      <w:rFonts w:ascii="Times New Roman" w:eastAsiaTheme="minorEastAsia" w:hAnsi="Times New Roman"/>
      <w:i/>
      <w:noProof/>
      <w:color w:val="000000" w:themeColor="text1"/>
      <w:spacing w:val="15"/>
      <w:sz w:val="24"/>
    </w:rPr>
  </w:style>
  <w:style w:type="paragraph" w:customStyle="1" w:styleId="UZEINadpis1st">
    <w:name w:val="UZEI Nadpis 1.st"/>
    <w:basedOn w:val="Nadpis1"/>
    <w:link w:val="UZEINadpis1stChar"/>
    <w:qFormat/>
    <w:rsid w:val="006660D2"/>
    <w:pPr>
      <w:spacing w:after="0" w:line="300" w:lineRule="atLeast"/>
    </w:pPr>
    <w:rPr>
      <w:rFonts w:cstheme="majorBidi"/>
      <w:bCs w:val="0"/>
      <w:color w:val="000000" w:themeColor="text1"/>
      <w:lang w:eastAsia="cs-CZ"/>
    </w:rPr>
  </w:style>
  <w:style w:type="paragraph" w:customStyle="1" w:styleId="UZEINadpis2st">
    <w:name w:val="UZEI Nadpis 2.st"/>
    <w:basedOn w:val="Nadpis2"/>
    <w:link w:val="UZEINadpis2stChar"/>
    <w:qFormat/>
    <w:rsid w:val="00784A04"/>
    <w:pPr>
      <w:numPr>
        <w:numId w:val="7"/>
      </w:numPr>
      <w:spacing w:line="300" w:lineRule="atLeast"/>
    </w:pPr>
    <w:rPr>
      <w:rFonts w:cstheme="majorBidi"/>
      <w:bCs w:val="0"/>
      <w:color w:val="000000" w:themeColor="text1"/>
      <w:szCs w:val="26"/>
      <w:lang w:eastAsia="cs-CZ"/>
    </w:rPr>
  </w:style>
  <w:style w:type="character" w:customStyle="1" w:styleId="UZEINadpis1stChar">
    <w:name w:val="UZEI Nadpis 1.st Char"/>
    <w:basedOn w:val="Nadpis1Char"/>
    <w:link w:val="UZEINadpis1st"/>
    <w:rsid w:val="006660D2"/>
    <w:rPr>
      <w:rFonts w:ascii="Times New Roman" w:eastAsiaTheme="majorEastAsia" w:hAnsi="Times New Roman" w:cstheme="majorBidi"/>
      <w:b/>
      <w:bCs w:val="0"/>
      <w:color w:val="000000" w:themeColor="text1"/>
      <w:sz w:val="28"/>
      <w:szCs w:val="32"/>
      <w:lang w:val="cs-CZ" w:eastAsia="cs-CZ"/>
    </w:rPr>
  </w:style>
  <w:style w:type="paragraph" w:customStyle="1" w:styleId="UZEINadpis3st">
    <w:name w:val="UZEI Nadpis 3.st"/>
    <w:basedOn w:val="Nadpis3"/>
    <w:link w:val="UZEINadpis3stChar"/>
    <w:qFormat/>
    <w:rsid w:val="006660D2"/>
    <w:pPr>
      <w:numPr>
        <w:ilvl w:val="0"/>
        <w:numId w:val="6"/>
      </w:numPr>
      <w:spacing w:line="300" w:lineRule="atLeast"/>
      <w:ind w:hanging="578"/>
    </w:pPr>
    <w:rPr>
      <w:bCs w:val="0"/>
      <w:i/>
      <w:color w:val="000000" w:themeColor="text1"/>
      <w:szCs w:val="24"/>
      <w:lang w:val="cs-CZ" w:eastAsia="cs-CZ"/>
    </w:rPr>
  </w:style>
  <w:style w:type="character" w:customStyle="1" w:styleId="UZEINadpis2stChar">
    <w:name w:val="UZEI Nadpis 2.st Char"/>
    <w:basedOn w:val="Nadpis2Char"/>
    <w:link w:val="UZEINadpis2st"/>
    <w:rsid w:val="006660D2"/>
    <w:rPr>
      <w:rFonts w:ascii="Times New Roman" w:eastAsiaTheme="majorEastAsia" w:hAnsi="Times New Roman" w:cstheme="majorBidi"/>
      <w:b/>
      <w:bCs w:val="0"/>
      <w:color w:val="000000" w:themeColor="text1"/>
      <w:sz w:val="26"/>
      <w:szCs w:val="26"/>
      <w:lang w:val="cs-CZ" w:eastAsia="cs-CZ"/>
    </w:rPr>
  </w:style>
  <w:style w:type="paragraph" w:customStyle="1" w:styleId="UZEINormaln">
    <w:name w:val="UZEI Normalní"/>
    <w:basedOn w:val="Normln"/>
    <w:link w:val="UZEINormalnChar"/>
    <w:qFormat/>
    <w:rsid w:val="0031504D"/>
    <w:pPr>
      <w:spacing w:before="120" w:after="120"/>
    </w:pPr>
    <w:rPr>
      <w:rFonts w:eastAsia="Times New Roman" w:cstheme="minorHAnsi"/>
      <w:szCs w:val="24"/>
      <w:lang w:val="cs-CZ" w:eastAsia="cs-CZ"/>
    </w:rPr>
  </w:style>
  <w:style w:type="character" w:customStyle="1" w:styleId="UZEINadpis3stChar">
    <w:name w:val="UZEI Nadpis 3.st Char"/>
    <w:basedOn w:val="Nadpis3Char"/>
    <w:link w:val="UZEINadpis3st"/>
    <w:rsid w:val="006660D2"/>
    <w:rPr>
      <w:rFonts w:ascii="Times New Roman" w:eastAsiaTheme="majorEastAsia" w:hAnsi="Times New Roman" w:cstheme="majorBidi"/>
      <w:b/>
      <w:bCs w:val="0"/>
      <w:i/>
      <w:color w:val="000000" w:themeColor="text1"/>
      <w:sz w:val="24"/>
      <w:szCs w:val="24"/>
      <w:lang w:val="cs-CZ" w:eastAsia="cs-CZ"/>
    </w:rPr>
  </w:style>
  <w:style w:type="paragraph" w:customStyle="1" w:styleId="UZEIOdrky">
    <w:name w:val="UZEI Odrážky"/>
    <w:basedOn w:val="Normln"/>
    <w:link w:val="UZEIOdrkyChar"/>
    <w:qFormat/>
    <w:rsid w:val="00BA3366"/>
    <w:pPr>
      <w:numPr>
        <w:numId w:val="2"/>
      </w:numPr>
      <w:autoSpaceDE w:val="0"/>
      <w:autoSpaceDN w:val="0"/>
      <w:spacing w:before="60" w:after="60"/>
    </w:pPr>
    <w:rPr>
      <w:rFonts w:eastAsia="Times New Roman" w:cs="Calibri"/>
      <w:color w:val="000000"/>
      <w:szCs w:val="24"/>
      <w:lang w:val="cs-CZ"/>
    </w:rPr>
  </w:style>
  <w:style w:type="character" w:customStyle="1" w:styleId="UZEINormalnChar">
    <w:name w:val="UZEI Normalní Char"/>
    <w:basedOn w:val="Standardnpsmoodstavce"/>
    <w:link w:val="UZEINormaln"/>
    <w:rsid w:val="0031504D"/>
    <w:rPr>
      <w:rFonts w:ascii="Times New Roman" w:eastAsia="Times New Roman" w:hAnsi="Times New Roman" w:cstheme="minorHAnsi"/>
      <w:sz w:val="24"/>
      <w:szCs w:val="24"/>
      <w:lang w:val="cs-CZ" w:eastAsia="cs-CZ"/>
    </w:rPr>
  </w:style>
  <w:style w:type="paragraph" w:customStyle="1" w:styleId="UZEINadpis4st">
    <w:name w:val="UZEI Nadpis 4.st"/>
    <w:basedOn w:val="Normln"/>
    <w:link w:val="UZEINadpis4stChar"/>
    <w:qFormat/>
    <w:rsid w:val="006660D2"/>
    <w:pPr>
      <w:spacing w:before="120" w:after="120" w:line="300" w:lineRule="atLeast"/>
    </w:pPr>
    <w:rPr>
      <w:rFonts w:eastAsia="Times New Roman" w:cs="Arial"/>
      <w:b/>
      <w:bCs/>
      <w:szCs w:val="24"/>
      <w:lang w:val="cs-CZ" w:eastAsia="cs-CZ"/>
    </w:rPr>
  </w:style>
  <w:style w:type="character" w:customStyle="1" w:styleId="UZEIOdrkyChar">
    <w:name w:val="UZEI Odrážky Char"/>
    <w:basedOn w:val="Standardnpsmoodstavce"/>
    <w:link w:val="UZEIOdrky"/>
    <w:rsid w:val="00BA3366"/>
    <w:rPr>
      <w:rFonts w:ascii="Times New Roman" w:eastAsia="Times New Roman" w:hAnsi="Times New Roman" w:cs="Calibri"/>
      <w:color w:val="000000"/>
      <w:sz w:val="24"/>
      <w:szCs w:val="24"/>
      <w:lang w:val="cs-CZ"/>
    </w:rPr>
  </w:style>
  <w:style w:type="character" w:customStyle="1" w:styleId="UZEINadpis4stChar">
    <w:name w:val="UZEI Nadpis 4.st Char"/>
    <w:basedOn w:val="Standardnpsmoodstavce"/>
    <w:link w:val="UZEINadpis4st"/>
    <w:rsid w:val="006660D2"/>
    <w:rPr>
      <w:rFonts w:ascii="Times New Roman" w:eastAsia="Times New Roman" w:hAnsi="Times New Roman" w:cs="Arial"/>
      <w:b/>
      <w:bCs/>
      <w:sz w:val="24"/>
      <w:szCs w:val="24"/>
      <w:lang w:val="cs-CZ" w:eastAsia="cs-CZ"/>
    </w:rPr>
  </w:style>
  <w:style w:type="paragraph" w:customStyle="1" w:styleId="UZEILiteratura">
    <w:name w:val="UZEI Literatura"/>
    <w:basedOn w:val="Normln"/>
    <w:link w:val="UZEILiteraturaChar"/>
    <w:qFormat/>
    <w:rsid w:val="006660D2"/>
    <w:pPr>
      <w:spacing w:before="120" w:after="180" w:line="300" w:lineRule="atLeast"/>
    </w:pPr>
    <w:rPr>
      <w:rFonts w:eastAsia="Times New Roman" w:cstheme="minorHAnsi"/>
      <w:sz w:val="20"/>
      <w:szCs w:val="20"/>
      <w:lang w:val="cs-CZ" w:eastAsia="cs-CZ"/>
    </w:rPr>
  </w:style>
  <w:style w:type="character" w:customStyle="1" w:styleId="UZEILiteraturaChar">
    <w:name w:val="UZEI Literatura Char"/>
    <w:basedOn w:val="Standardnpsmoodstavce"/>
    <w:link w:val="UZEILiteratura"/>
    <w:rsid w:val="006660D2"/>
    <w:rPr>
      <w:rFonts w:ascii="Times New Roman" w:eastAsia="Times New Roman" w:hAnsi="Times New Roman" w:cstheme="minorHAnsi"/>
      <w:sz w:val="20"/>
      <w:szCs w:val="20"/>
      <w:lang w:val="cs-CZ" w:eastAsia="cs-CZ"/>
    </w:rPr>
  </w:style>
  <w:style w:type="paragraph" w:customStyle="1" w:styleId="UZEIZdroj">
    <w:name w:val="UZEI Zdroj"/>
    <w:basedOn w:val="Normln"/>
    <w:qFormat/>
    <w:rsid w:val="006660D2"/>
    <w:pPr>
      <w:spacing w:after="120"/>
    </w:pPr>
    <w:rPr>
      <w:rFonts w:eastAsia="Calibri" w:cs="Times New Roman"/>
      <w:i/>
      <w:iCs/>
      <w:sz w:val="20"/>
      <w:szCs w:val="24"/>
      <w:lang w:val="cs-CZ"/>
    </w:rPr>
  </w:style>
  <w:style w:type="paragraph" w:customStyle="1" w:styleId="UZEIGraf">
    <w:name w:val="UZEI Graf"/>
    <w:basedOn w:val="Normln"/>
    <w:link w:val="UZEIGrafChar"/>
    <w:qFormat/>
    <w:rsid w:val="006660D2"/>
    <w:pPr>
      <w:numPr>
        <w:numId w:val="3"/>
      </w:numPr>
      <w:spacing w:before="60" w:line="300" w:lineRule="atLeast"/>
      <w:ind w:left="0" w:firstLine="0"/>
    </w:pPr>
    <w:rPr>
      <w:rFonts w:eastAsia="Times New Roman" w:cs="Arial"/>
      <w:b/>
      <w:sz w:val="20"/>
      <w:szCs w:val="20"/>
      <w:lang w:val="cs-CZ" w:eastAsia="cs-CZ"/>
    </w:rPr>
  </w:style>
  <w:style w:type="paragraph" w:customStyle="1" w:styleId="UZEINadpis1stbezsla">
    <w:name w:val="UZEI Nadpis 1. st.  bez čísla"/>
    <w:basedOn w:val="UZEINadpis1st"/>
    <w:link w:val="UZEINadpis1stbezslaChar"/>
    <w:autoRedefine/>
    <w:qFormat/>
    <w:rsid w:val="00E57A20"/>
    <w:pPr>
      <w:numPr>
        <w:numId w:val="0"/>
      </w:numPr>
    </w:pPr>
  </w:style>
  <w:style w:type="character" w:customStyle="1" w:styleId="UZEIGrafChar">
    <w:name w:val="UZEI Graf Char"/>
    <w:basedOn w:val="UZEILiteraturaChar"/>
    <w:link w:val="UZEIGraf"/>
    <w:rsid w:val="006660D2"/>
    <w:rPr>
      <w:rFonts w:ascii="Times New Roman" w:eastAsia="Times New Roman" w:hAnsi="Times New Roman" w:cs="Arial"/>
      <w:b/>
      <w:sz w:val="20"/>
      <w:szCs w:val="20"/>
      <w:lang w:val="cs-CZ" w:eastAsia="cs-CZ"/>
    </w:rPr>
  </w:style>
  <w:style w:type="paragraph" w:customStyle="1" w:styleId="UZEINadpis2stbezsla">
    <w:name w:val="UZEI Nadpis 2. st bez čísla"/>
    <w:basedOn w:val="UZEINadpis2st"/>
    <w:link w:val="UZEINadpis2stbezslaChar"/>
    <w:qFormat/>
    <w:rsid w:val="006660D2"/>
    <w:pPr>
      <w:ind w:left="0" w:firstLine="0"/>
    </w:pPr>
  </w:style>
  <w:style w:type="character" w:customStyle="1" w:styleId="UZEINadpis1stbezslaChar">
    <w:name w:val="UZEI Nadpis 1. st.  bez čísla Char"/>
    <w:basedOn w:val="UZEIGrafChar"/>
    <w:link w:val="UZEINadpis1stbezsla"/>
    <w:rsid w:val="00E57A20"/>
    <w:rPr>
      <w:rFonts w:ascii="Times New Roman" w:eastAsiaTheme="majorEastAsia" w:hAnsi="Times New Roman" w:cstheme="majorBidi"/>
      <w:b/>
      <w:color w:val="000000" w:themeColor="text1"/>
      <w:sz w:val="28"/>
      <w:szCs w:val="32"/>
      <w:lang w:val="cs-CZ" w:eastAsia="cs-CZ"/>
    </w:rPr>
  </w:style>
  <w:style w:type="character" w:customStyle="1" w:styleId="UZEINadpis2stbezslaChar">
    <w:name w:val="UZEI Nadpis 2. st bez čísla Char"/>
    <w:basedOn w:val="Standardnpsmoodstavce"/>
    <w:link w:val="UZEINadpis2stbezsla"/>
    <w:rsid w:val="006660D2"/>
    <w:rPr>
      <w:rFonts w:ascii="Times New Roman" w:eastAsiaTheme="majorEastAsia" w:hAnsi="Times New Roman" w:cstheme="majorBidi"/>
      <w:b/>
      <w:color w:val="000000" w:themeColor="text1"/>
      <w:sz w:val="26"/>
      <w:szCs w:val="26"/>
      <w:lang w:val="cs-CZ" w:eastAsia="cs-CZ"/>
    </w:rPr>
  </w:style>
  <w:style w:type="paragraph" w:customStyle="1" w:styleId="UZEITaB">
    <w:name w:val="UZEI TaB"/>
    <w:basedOn w:val="UZEIGraf"/>
    <w:link w:val="UZEITaBChar"/>
    <w:qFormat/>
    <w:rsid w:val="0087790C"/>
    <w:pPr>
      <w:numPr>
        <w:numId w:val="4"/>
      </w:numPr>
      <w:ind w:left="993" w:hanging="993"/>
      <w:jc w:val="left"/>
    </w:pPr>
    <w:rPr>
      <w:color w:val="000000" w:themeColor="text1"/>
    </w:rPr>
  </w:style>
  <w:style w:type="paragraph" w:customStyle="1" w:styleId="UZEIObr">
    <w:name w:val="UZEI Obr"/>
    <w:basedOn w:val="UZEIGraf"/>
    <w:link w:val="UZEIObrChar"/>
    <w:qFormat/>
    <w:rsid w:val="00E04264"/>
    <w:pPr>
      <w:numPr>
        <w:numId w:val="5"/>
      </w:numPr>
      <w:ind w:left="0" w:firstLine="0"/>
    </w:pPr>
    <w:rPr>
      <w:noProof/>
    </w:rPr>
  </w:style>
  <w:style w:type="character" w:customStyle="1" w:styleId="UZEITaBChar">
    <w:name w:val="UZEI TaB Char"/>
    <w:basedOn w:val="UZEINadpis2stbezslaChar"/>
    <w:link w:val="UZEITaB"/>
    <w:rsid w:val="0087790C"/>
    <w:rPr>
      <w:rFonts w:ascii="Times New Roman" w:eastAsia="Times New Roman" w:hAnsi="Times New Roman" w:cs="Arial"/>
      <w:b/>
      <w:color w:val="000000" w:themeColor="text1"/>
      <w:sz w:val="20"/>
      <w:szCs w:val="20"/>
      <w:lang w:val="cs-CZ" w:eastAsia="cs-CZ"/>
    </w:rPr>
  </w:style>
  <w:style w:type="character" w:customStyle="1" w:styleId="UZEIObrChar">
    <w:name w:val="UZEI Obr Char"/>
    <w:basedOn w:val="UZEINormalnChar"/>
    <w:link w:val="UZEIObr"/>
    <w:rsid w:val="00E04264"/>
    <w:rPr>
      <w:rFonts w:ascii="Times New Roman" w:eastAsia="Times New Roman" w:hAnsi="Times New Roman" w:cs="Arial"/>
      <w:b/>
      <w:noProof/>
      <w:sz w:val="20"/>
      <w:szCs w:val="20"/>
      <w:lang w:val="cs-CZ" w:eastAsia="cs-CZ"/>
    </w:rPr>
  </w:style>
  <w:style w:type="paragraph" w:customStyle="1" w:styleId="st-nazev">
    <w:name w:val="st-nazev"/>
    <w:basedOn w:val="Normln"/>
    <w:next w:val="Normln"/>
    <w:rsid w:val="00D81379"/>
    <w:pPr>
      <w:spacing w:before="5640"/>
      <w:jc w:val="center"/>
    </w:pPr>
    <w:rPr>
      <w:rFonts w:ascii="Arial" w:eastAsia="Times New Roman" w:hAnsi="Arial" w:cs="Times New Roman"/>
      <w:b/>
      <w:sz w:val="32"/>
      <w:szCs w:val="23"/>
      <w:lang w:val="cs-CZ" w:eastAsia="cs-CZ"/>
    </w:rPr>
  </w:style>
  <w:style w:type="paragraph" w:customStyle="1" w:styleId="st-rok">
    <w:name w:val="st-rok"/>
    <w:basedOn w:val="Normln"/>
    <w:rsid w:val="00D81379"/>
    <w:pPr>
      <w:spacing w:before="6000"/>
      <w:jc w:val="center"/>
    </w:pPr>
    <w:rPr>
      <w:rFonts w:eastAsia="Times New Roman" w:cs="Times New Roman"/>
      <w:b/>
      <w:szCs w:val="23"/>
      <w:lang w:val="cs-CZ" w:eastAsia="cs-CZ"/>
    </w:rPr>
  </w:style>
  <w:style w:type="paragraph" w:customStyle="1" w:styleId="UZEI">
    <w:name w:val="UZEI"/>
    <w:basedOn w:val="Normln"/>
    <w:next w:val="Normln"/>
    <w:qFormat/>
    <w:rsid w:val="00D81379"/>
    <w:pPr>
      <w:keepNext/>
      <w:spacing w:before="120"/>
      <w:jc w:val="center"/>
    </w:pPr>
    <w:rPr>
      <w:rFonts w:ascii="Arial" w:eastAsia="Times New Roman" w:hAnsi="Arial" w:cs="Times New Roman"/>
      <w:b/>
      <w:caps/>
      <w:kern w:val="28"/>
      <w:szCs w:val="24"/>
      <w:lang w:val="x-none" w:eastAsia="x-none"/>
    </w:rPr>
  </w:style>
  <w:style w:type="paragraph" w:styleId="Obsah4">
    <w:name w:val="toc 4"/>
    <w:basedOn w:val="Normln"/>
    <w:next w:val="Normln"/>
    <w:autoRedefine/>
    <w:uiPriority w:val="39"/>
    <w:unhideWhenUsed/>
    <w:rsid w:val="00C74404"/>
    <w:pPr>
      <w:ind w:left="720"/>
      <w:jc w:val="left"/>
    </w:pPr>
    <w:rPr>
      <w:sz w:val="20"/>
      <w:szCs w:val="18"/>
    </w:rPr>
  </w:style>
  <w:style w:type="paragraph" w:styleId="Obsah5">
    <w:name w:val="toc 5"/>
    <w:basedOn w:val="Normln"/>
    <w:next w:val="Normln"/>
    <w:autoRedefine/>
    <w:uiPriority w:val="39"/>
    <w:unhideWhenUsed/>
    <w:rsid w:val="00DF2B9D"/>
    <w:pPr>
      <w:ind w:left="960"/>
      <w:jc w:val="left"/>
    </w:pPr>
    <w:rPr>
      <w:rFonts w:asciiTheme="minorHAnsi" w:hAnsiTheme="minorHAnsi"/>
      <w:sz w:val="18"/>
      <w:szCs w:val="18"/>
    </w:rPr>
  </w:style>
  <w:style w:type="paragraph" w:styleId="Obsah6">
    <w:name w:val="toc 6"/>
    <w:basedOn w:val="Normln"/>
    <w:next w:val="Normln"/>
    <w:autoRedefine/>
    <w:uiPriority w:val="39"/>
    <w:unhideWhenUsed/>
    <w:rsid w:val="00DF2B9D"/>
    <w:pPr>
      <w:ind w:left="1200"/>
      <w:jc w:val="left"/>
    </w:pPr>
    <w:rPr>
      <w:rFonts w:asciiTheme="minorHAnsi" w:hAnsiTheme="minorHAnsi"/>
      <w:sz w:val="18"/>
      <w:szCs w:val="18"/>
    </w:rPr>
  </w:style>
  <w:style w:type="paragraph" w:styleId="Obsah7">
    <w:name w:val="toc 7"/>
    <w:basedOn w:val="Normln"/>
    <w:next w:val="Normln"/>
    <w:autoRedefine/>
    <w:uiPriority w:val="39"/>
    <w:unhideWhenUsed/>
    <w:rsid w:val="00DF2B9D"/>
    <w:pPr>
      <w:ind w:left="1440"/>
      <w:jc w:val="left"/>
    </w:pPr>
    <w:rPr>
      <w:rFonts w:asciiTheme="minorHAnsi" w:hAnsiTheme="minorHAnsi"/>
      <w:sz w:val="18"/>
      <w:szCs w:val="18"/>
    </w:rPr>
  </w:style>
  <w:style w:type="paragraph" w:styleId="Obsah8">
    <w:name w:val="toc 8"/>
    <w:basedOn w:val="Normln"/>
    <w:next w:val="Normln"/>
    <w:autoRedefine/>
    <w:uiPriority w:val="39"/>
    <w:unhideWhenUsed/>
    <w:rsid w:val="00DF2B9D"/>
    <w:pPr>
      <w:ind w:left="1680"/>
      <w:jc w:val="left"/>
    </w:pPr>
    <w:rPr>
      <w:rFonts w:asciiTheme="minorHAnsi" w:hAnsiTheme="minorHAnsi"/>
      <w:sz w:val="18"/>
      <w:szCs w:val="18"/>
    </w:rPr>
  </w:style>
  <w:style w:type="paragraph" w:styleId="Obsah9">
    <w:name w:val="toc 9"/>
    <w:basedOn w:val="Normln"/>
    <w:next w:val="Normln"/>
    <w:autoRedefine/>
    <w:uiPriority w:val="39"/>
    <w:unhideWhenUsed/>
    <w:rsid w:val="00DF2B9D"/>
    <w:pPr>
      <w:ind w:left="1920"/>
      <w:jc w:val="left"/>
    </w:pPr>
    <w:rPr>
      <w:rFonts w:asciiTheme="minorHAnsi" w:hAnsiTheme="minorHAnsi"/>
      <w:sz w:val="18"/>
      <w:szCs w:val="18"/>
    </w:rPr>
  </w:style>
  <w:style w:type="table" w:styleId="Mkatabulky">
    <w:name w:val="Table Grid"/>
    <w:basedOn w:val="Normlntabulka"/>
    <w:uiPriority w:val="39"/>
    <w:rsid w:val="00CB2594"/>
    <w:pPr>
      <w:spacing w:after="0" w:line="240"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go">
    <w:name w:val="logo"/>
    <w:basedOn w:val="Normln"/>
    <w:rsid w:val="00CB2594"/>
    <w:pPr>
      <w:keepNext/>
      <w:jc w:val="center"/>
    </w:pPr>
    <w:rPr>
      <w:rFonts w:ascii="Arial" w:eastAsia="Times New Roman" w:hAnsi="Arial" w:cs="Times New Roman"/>
      <w:b/>
      <w:bCs/>
      <w:caps/>
      <w:kern w:val="28"/>
      <w:sz w:val="28"/>
      <w:szCs w:val="20"/>
      <w:lang w:val="x-none" w:eastAsia="x-none"/>
    </w:rPr>
  </w:style>
  <w:style w:type="paragraph" w:styleId="Bezmezer">
    <w:name w:val="No Spacing"/>
    <w:uiPriority w:val="1"/>
    <w:qFormat/>
    <w:rsid w:val="00CB2594"/>
    <w:pPr>
      <w:spacing w:after="0" w:line="240" w:lineRule="auto"/>
      <w:jc w:val="center"/>
    </w:pPr>
    <w:rPr>
      <w:rFonts w:ascii="Calibri" w:eastAsia="Calibri" w:hAnsi="Calibri" w:cs="Times New Roman"/>
      <w:lang w:val="cs-CZ"/>
    </w:rPr>
  </w:style>
  <w:style w:type="character" w:customStyle="1" w:styleId="notranslate">
    <w:name w:val="notranslate"/>
    <w:basedOn w:val="Standardnpsmoodstavce"/>
    <w:rsid w:val="00CB2594"/>
  </w:style>
  <w:style w:type="paragraph" w:styleId="Normlnweb">
    <w:name w:val="Normal (Web)"/>
    <w:basedOn w:val="Normln"/>
    <w:uiPriority w:val="99"/>
    <w:unhideWhenUsed/>
    <w:rsid w:val="00CB2594"/>
    <w:pPr>
      <w:spacing w:before="100" w:beforeAutospacing="1" w:after="100" w:afterAutospacing="1"/>
      <w:jc w:val="left"/>
    </w:pPr>
    <w:rPr>
      <w:rFonts w:eastAsia="Times New Roman" w:cs="Times New Roman"/>
      <w:szCs w:val="24"/>
      <w:lang w:val="cs-CZ" w:eastAsia="cs-CZ"/>
    </w:rPr>
  </w:style>
  <w:style w:type="character" w:styleId="Zdraznnjemn">
    <w:name w:val="Subtle Emphasis"/>
    <w:uiPriority w:val="19"/>
    <w:qFormat/>
    <w:rsid w:val="00CB2594"/>
    <w:rPr>
      <w:i/>
      <w:iCs/>
      <w:color w:val="404040"/>
    </w:rPr>
  </w:style>
  <w:style w:type="character" w:styleId="Zdraznn">
    <w:name w:val="Emphasis"/>
    <w:uiPriority w:val="20"/>
    <w:qFormat/>
    <w:rsid w:val="00CB2594"/>
    <w:rPr>
      <w:i/>
      <w:iCs/>
    </w:rPr>
  </w:style>
  <w:style w:type="character" w:styleId="Zdraznnintenzivn">
    <w:name w:val="Intense Emphasis"/>
    <w:uiPriority w:val="21"/>
    <w:qFormat/>
    <w:rsid w:val="00CB2594"/>
    <w:rPr>
      <w:i/>
      <w:iCs/>
      <w:color w:val="5B9BD5"/>
    </w:rPr>
  </w:style>
  <w:style w:type="paragraph" w:styleId="Revize">
    <w:name w:val="Revision"/>
    <w:hidden/>
    <w:uiPriority w:val="99"/>
    <w:semiHidden/>
    <w:rsid w:val="00CB2594"/>
    <w:pPr>
      <w:spacing w:after="0" w:line="240" w:lineRule="auto"/>
    </w:pPr>
    <w:rPr>
      <w:rFonts w:ascii="Calibri" w:eastAsia="Calibri" w:hAnsi="Calibri" w:cs="Times New Roman"/>
      <w:lang w:val="cs-CZ"/>
    </w:rPr>
  </w:style>
  <w:style w:type="paragraph" w:customStyle="1" w:styleId="article-perex">
    <w:name w:val="article-perex"/>
    <w:basedOn w:val="Normln"/>
    <w:rsid w:val="00CB2594"/>
    <w:pPr>
      <w:spacing w:before="100" w:beforeAutospacing="1" w:after="100" w:afterAutospacing="1"/>
      <w:jc w:val="left"/>
    </w:pPr>
    <w:rPr>
      <w:rFonts w:eastAsia="Times New Roman" w:cs="Times New Roman"/>
      <w:szCs w:val="24"/>
      <w:lang w:val="cs-CZ" w:eastAsia="cs-CZ"/>
    </w:rPr>
  </w:style>
  <w:style w:type="paragraph" w:customStyle="1" w:styleId="Tabulka">
    <w:name w:val="Tabulka"/>
    <w:basedOn w:val="Normln"/>
    <w:rsid w:val="00CB2594"/>
    <w:pPr>
      <w:spacing w:before="60" w:line="300" w:lineRule="atLeast"/>
      <w:jc w:val="left"/>
    </w:pPr>
    <w:rPr>
      <w:rFonts w:eastAsia="Times New Roman" w:cs="Times New Roman"/>
      <w:szCs w:val="23"/>
      <w:lang w:val="cs-CZ" w:eastAsia="cs-CZ"/>
    </w:rPr>
  </w:style>
  <w:style w:type="paragraph" w:customStyle="1" w:styleId="BodytextAgency">
    <w:name w:val="Body text (Agency)"/>
    <w:basedOn w:val="Normln"/>
    <w:link w:val="BodytextAgencyChar"/>
    <w:qFormat/>
    <w:rsid w:val="00CB2594"/>
    <w:pPr>
      <w:spacing w:after="140" w:line="280" w:lineRule="atLeast"/>
      <w:jc w:val="left"/>
    </w:pPr>
    <w:rPr>
      <w:rFonts w:ascii="Verdana" w:eastAsia="Verdana" w:hAnsi="Verdana" w:cs="Verdana"/>
      <w:sz w:val="18"/>
      <w:szCs w:val="18"/>
      <w:lang w:eastAsia="en-GB"/>
    </w:rPr>
  </w:style>
  <w:style w:type="character" w:customStyle="1" w:styleId="BodytextAgencyChar">
    <w:name w:val="Body text (Agency) Char"/>
    <w:link w:val="BodytextAgency"/>
    <w:rsid w:val="00CB2594"/>
    <w:rPr>
      <w:rFonts w:ascii="Verdana" w:eastAsia="Verdana" w:hAnsi="Verdana" w:cs="Verdana"/>
      <w:sz w:val="18"/>
      <w:szCs w:val="18"/>
      <w:lang w:eastAsia="en-GB"/>
    </w:rPr>
  </w:style>
  <w:style w:type="character" w:customStyle="1" w:styleId="FootnotereferenceAgency">
    <w:name w:val="Footnote reference (Agency)"/>
    <w:rsid w:val="00CB2594"/>
    <w:rPr>
      <w:rFonts w:ascii="Verdana" w:hAnsi="Verdana"/>
      <w:color w:val="auto"/>
      <w:vertAlign w:val="superscript"/>
    </w:rPr>
  </w:style>
  <w:style w:type="paragraph" w:customStyle="1" w:styleId="FootnotetextAgency">
    <w:name w:val="Footnote text (Agency)"/>
    <w:basedOn w:val="Normln"/>
    <w:rsid w:val="00CB2594"/>
    <w:pPr>
      <w:jc w:val="left"/>
    </w:pPr>
    <w:rPr>
      <w:rFonts w:ascii="Verdana" w:eastAsia="Verdana" w:hAnsi="Verdana" w:cs="Verdana"/>
      <w:sz w:val="15"/>
      <w:szCs w:val="18"/>
      <w:lang w:eastAsia="en-GB"/>
    </w:rPr>
  </w:style>
  <w:style w:type="paragraph" w:customStyle="1" w:styleId="TableheadingAgency">
    <w:name w:val="Table heading (Agency)"/>
    <w:basedOn w:val="Normln"/>
    <w:next w:val="BodytextAgency"/>
    <w:rsid w:val="00CB2594"/>
    <w:pPr>
      <w:keepNext/>
      <w:numPr>
        <w:numId w:val="9"/>
      </w:numPr>
      <w:spacing w:before="240" w:after="120"/>
      <w:jc w:val="left"/>
    </w:pPr>
    <w:rPr>
      <w:rFonts w:ascii="Verdana" w:eastAsia="SimSun" w:hAnsi="Verdana" w:cs="Verdana"/>
      <w:sz w:val="18"/>
      <w:szCs w:val="18"/>
      <w:lang w:eastAsia="en-GB"/>
    </w:rPr>
  </w:style>
  <w:style w:type="paragraph" w:customStyle="1" w:styleId="Podnadpis1">
    <w:name w:val="Podnadpis1"/>
    <w:uiPriority w:val="99"/>
    <w:rsid w:val="00CB2594"/>
    <w:pPr>
      <w:spacing w:before="72" w:after="72" w:line="240" w:lineRule="auto"/>
      <w:jc w:val="center"/>
    </w:pPr>
    <w:rPr>
      <w:rFonts w:ascii="Arial" w:eastAsia="Times New Roman" w:hAnsi="Arial" w:cs="Times New Roman"/>
      <w:b/>
      <w:color w:val="000000"/>
      <w:sz w:val="26"/>
      <w:szCs w:val="20"/>
      <w:lang w:val="cs-CZ" w:eastAsia="cs-CZ"/>
    </w:rPr>
  </w:style>
  <w:style w:type="character" w:customStyle="1" w:styleId="Nevyeenzmnka1">
    <w:name w:val="Nevyřešená zmínka1"/>
    <w:basedOn w:val="Standardnpsmoodstavce"/>
    <w:uiPriority w:val="99"/>
    <w:semiHidden/>
    <w:unhideWhenUsed/>
    <w:rsid w:val="00CB2594"/>
    <w:rPr>
      <w:color w:val="808080"/>
      <w:shd w:val="clear" w:color="auto" w:fill="E6E6E6"/>
    </w:rPr>
  </w:style>
  <w:style w:type="paragraph" w:customStyle="1" w:styleId="Footno">
    <w:name w:val="Footno"/>
    <w:basedOn w:val="Normln"/>
    <w:rsid w:val="00CB2594"/>
    <w:rPr>
      <w:rFonts w:eastAsia="Arial Unicode MS" w:cs="Times New Roman"/>
      <w:color w:val="000000"/>
      <w:sz w:val="20"/>
      <w:szCs w:val="20"/>
      <w:lang w:val="cs-CZ" w:eastAsia="cs-CZ" w:bidi="cs-CZ"/>
    </w:rPr>
  </w:style>
  <w:style w:type="paragraph" w:styleId="Seznamobrzk">
    <w:name w:val="table of figures"/>
    <w:basedOn w:val="Normln"/>
    <w:next w:val="Normln"/>
    <w:uiPriority w:val="99"/>
    <w:semiHidden/>
    <w:unhideWhenUsed/>
    <w:rsid w:val="00CB2594"/>
    <w:pPr>
      <w:spacing w:before="120"/>
    </w:pPr>
    <w:rPr>
      <w:rFonts w:cs="Times New Roman"/>
      <w:lang w:val="cs-CZ" w:eastAsia="cs-CZ" w:bidi="cs-CZ"/>
    </w:rPr>
  </w:style>
  <w:style w:type="paragraph" w:customStyle="1" w:styleId="Bullet0">
    <w:name w:val="Bullet 0"/>
    <w:basedOn w:val="Normln"/>
    <w:rsid w:val="00CB2594"/>
    <w:pPr>
      <w:numPr>
        <w:numId w:val="10"/>
      </w:numPr>
      <w:spacing w:before="120" w:after="120"/>
    </w:pPr>
    <w:rPr>
      <w:rFonts w:cs="Times New Roman"/>
      <w:lang w:val="cs-CZ" w:eastAsia="cs-CZ" w:bidi="cs-CZ"/>
    </w:rPr>
  </w:style>
  <w:style w:type="paragraph" w:customStyle="1" w:styleId="Bullet2">
    <w:name w:val="Bullet 2"/>
    <w:basedOn w:val="Normln"/>
    <w:rsid w:val="00CB2594"/>
    <w:pPr>
      <w:numPr>
        <w:numId w:val="11"/>
      </w:numPr>
      <w:spacing w:before="120" w:after="120"/>
    </w:pPr>
    <w:rPr>
      <w:rFonts w:cs="Times New Roman"/>
      <w:lang w:val="cs-CZ" w:eastAsia="cs-CZ" w:bidi="cs-CZ"/>
    </w:rPr>
  </w:style>
  <w:style w:type="character" w:styleId="Sledovanodkaz">
    <w:name w:val="FollowedHyperlink"/>
    <w:basedOn w:val="Standardnpsmoodstavce"/>
    <w:uiPriority w:val="99"/>
    <w:semiHidden/>
    <w:unhideWhenUsed/>
    <w:rsid w:val="00CB2594"/>
    <w:rPr>
      <w:color w:val="954F72" w:themeColor="followedHyperlink"/>
      <w:u w:val="single"/>
    </w:rPr>
  </w:style>
  <w:style w:type="character" w:customStyle="1" w:styleId="Nevyeenzmnka2">
    <w:name w:val="Nevyřešená zmínka2"/>
    <w:basedOn w:val="Standardnpsmoodstavce"/>
    <w:uiPriority w:val="99"/>
    <w:semiHidden/>
    <w:unhideWhenUsed/>
    <w:rsid w:val="00CB2594"/>
    <w:rPr>
      <w:color w:val="808080"/>
      <w:shd w:val="clear" w:color="auto" w:fill="E6E6E6"/>
    </w:rPr>
  </w:style>
  <w:style w:type="paragraph" w:customStyle="1" w:styleId="Point0">
    <w:name w:val="Point 0"/>
    <w:basedOn w:val="Normln"/>
    <w:rsid w:val="00CB2594"/>
    <w:pPr>
      <w:spacing w:before="120" w:after="120"/>
      <w:ind w:left="850" w:hanging="850"/>
    </w:pPr>
    <w:rPr>
      <w:rFonts w:cs="Times New Roman"/>
      <w:lang w:val="cs-CZ"/>
    </w:rPr>
  </w:style>
  <w:style w:type="character" w:customStyle="1" w:styleId="st">
    <w:name w:val="st"/>
    <w:basedOn w:val="Standardnpsmoodstavce"/>
    <w:rsid w:val="00CB2594"/>
  </w:style>
  <w:style w:type="character" w:customStyle="1" w:styleId="Nevyeenzmnka3">
    <w:name w:val="Nevyřešená zmínka3"/>
    <w:basedOn w:val="Standardnpsmoodstavce"/>
    <w:uiPriority w:val="99"/>
    <w:semiHidden/>
    <w:unhideWhenUsed/>
    <w:rsid w:val="00CB2594"/>
    <w:rPr>
      <w:color w:val="605E5C"/>
      <w:shd w:val="clear" w:color="auto" w:fill="E1DFDD"/>
    </w:rPr>
  </w:style>
  <w:style w:type="paragraph" w:styleId="FormtovanvHTML">
    <w:name w:val="HTML Preformatted"/>
    <w:basedOn w:val="Normln"/>
    <w:link w:val="FormtovanvHTMLChar"/>
    <w:uiPriority w:val="99"/>
    <w:semiHidden/>
    <w:unhideWhenUsed/>
    <w:rsid w:val="00CB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semiHidden/>
    <w:rsid w:val="00CB2594"/>
    <w:rPr>
      <w:rFonts w:ascii="Courier New" w:eastAsia="Times New Roman" w:hAnsi="Courier New" w:cs="Courier New"/>
      <w:sz w:val="20"/>
      <w:szCs w:val="20"/>
      <w:lang w:val="cs-CZ" w:eastAsia="cs-CZ"/>
    </w:rPr>
  </w:style>
  <w:style w:type="character" w:customStyle="1" w:styleId="Nevyeenzmnka4">
    <w:name w:val="Nevyřešená zmínka4"/>
    <w:basedOn w:val="Standardnpsmoodstavce"/>
    <w:uiPriority w:val="99"/>
    <w:semiHidden/>
    <w:unhideWhenUsed/>
    <w:rsid w:val="00CB2594"/>
    <w:rPr>
      <w:color w:val="605E5C"/>
      <w:shd w:val="clear" w:color="auto" w:fill="E1DFDD"/>
    </w:rPr>
  </w:style>
  <w:style w:type="paragraph" w:styleId="z-Zatekformule">
    <w:name w:val="HTML Top of Form"/>
    <w:basedOn w:val="Normln"/>
    <w:next w:val="Normln"/>
    <w:link w:val="z-ZatekformuleChar"/>
    <w:hidden/>
    <w:uiPriority w:val="99"/>
    <w:semiHidden/>
    <w:unhideWhenUsed/>
    <w:rsid w:val="00CB2594"/>
    <w:pPr>
      <w:pBdr>
        <w:bottom w:val="single" w:sz="6" w:space="1" w:color="auto"/>
      </w:pBdr>
      <w:jc w:val="center"/>
    </w:pPr>
    <w:rPr>
      <w:rFonts w:ascii="Arial" w:eastAsia="Times New Roman" w:hAnsi="Arial" w:cs="Arial"/>
      <w:vanish/>
      <w:sz w:val="16"/>
      <w:szCs w:val="16"/>
      <w:lang w:val="cs-CZ" w:eastAsia="cs-CZ"/>
    </w:rPr>
  </w:style>
  <w:style w:type="character" w:customStyle="1" w:styleId="z-ZatekformuleChar">
    <w:name w:val="z-Začátek formuláře Char"/>
    <w:basedOn w:val="Standardnpsmoodstavce"/>
    <w:link w:val="z-Zatekformule"/>
    <w:uiPriority w:val="99"/>
    <w:semiHidden/>
    <w:rsid w:val="00CB2594"/>
    <w:rPr>
      <w:rFonts w:ascii="Arial" w:eastAsia="Times New Roman" w:hAnsi="Arial" w:cs="Arial"/>
      <w:vanish/>
      <w:sz w:val="16"/>
      <w:szCs w:val="16"/>
      <w:lang w:val="cs-CZ" w:eastAsia="cs-CZ"/>
    </w:rPr>
  </w:style>
  <w:style w:type="paragraph" w:styleId="z-Konecformule">
    <w:name w:val="HTML Bottom of Form"/>
    <w:basedOn w:val="Normln"/>
    <w:next w:val="Normln"/>
    <w:link w:val="z-KonecformuleChar"/>
    <w:hidden/>
    <w:uiPriority w:val="99"/>
    <w:semiHidden/>
    <w:unhideWhenUsed/>
    <w:rsid w:val="00CB2594"/>
    <w:pPr>
      <w:pBdr>
        <w:top w:val="single" w:sz="6" w:space="1" w:color="auto"/>
      </w:pBdr>
      <w:jc w:val="center"/>
    </w:pPr>
    <w:rPr>
      <w:rFonts w:ascii="Arial" w:eastAsia="Times New Roman" w:hAnsi="Arial" w:cs="Arial"/>
      <w:vanish/>
      <w:sz w:val="16"/>
      <w:szCs w:val="16"/>
      <w:lang w:val="cs-CZ" w:eastAsia="cs-CZ"/>
    </w:rPr>
  </w:style>
  <w:style w:type="character" w:customStyle="1" w:styleId="z-KonecformuleChar">
    <w:name w:val="z-Konec formuláře Char"/>
    <w:basedOn w:val="Standardnpsmoodstavce"/>
    <w:link w:val="z-Konecformule"/>
    <w:uiPriority w:val="99"/>
    <w:semiHidden/>
    <w:rsid w:val="00CB2594"/>
    <w:rPr>
      <w:rFonts w:ascii="Arial" w:eastAsia="Times New Roman" w:hAnsi="Arial" w:cs="Arial"/>
      <w:vanish/>
      <w:sz w:val="16"/>
      <w:szCs w:val="16"/>
      <w:lang w:val="cs-CZ" w:eastAsia="cs-CZ"/>
    </w:rPr>
  </w:style>
  <w:style w:type="character" w:customStyle="1" w:styleId="Nevyeenzmnka5">
    <w:name w:val="Nevyřešená zmínka5"/>
    <w:basedOn w:val="Standardnpsmoodstavce"/>
    <w:uiPriority w:val="99"/>
    <w:semiHidden/>
    <w:unhideWhenUsed/>
    <w:rsid w:val="00CB2594"/>
    <w:rPr>
      <w:color w:val="605E5C"/>
      <w:shd w:val="clear" w:color="auto" w:fill="E1DFDD"/>
    </w:rPr>
  </w:style>
  <w:style w:type="table" w:customStyle="1" w:styleId="Tabulkasmkou21">
    <w:name w:val="Tabulka s mřížkou 21"/>
    <w:basedOn w:val="Normlntabulka"/>
    <w:uiPriority w:val="47"/>
    <w:rsid w:val="00AA3A5F"/>
    <w:pPr>
      <w:spacing w:after="0" w:line="240" w:lineRule="auto"/>
    </w:pPr>
    <w:rPr>
      <w:lang w:val="cs-CZ"/>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Barevntabulkasmkou61">
    <w:name w:val="Barevná tabulka s mřížkou 61"/>
    <w:basedOn w:val="Normlntabulka"/>
    <w:uiPriority w:val="51"/>
    <w:rsid w:val="00AA3A5F"/>
    <w:pPr>
      <w:spacing w:after="0" w:line="240" w:lineRule="auto"/>
    </w:pPr>
    <w:rPr>
      <w:color w:val="000000" w:themeColor="text1"/>
      <w:lang w:val="cs-CZ"/>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spolueitel1">
    <w:name w:val="TÚ - spoluřešitel1"/>
    <w:basedOn w:val="Normln"/>
    <w:qFormat/>
    <w:rsid w:val="00AA3A5F"/>
    <w:pPr>
      <w:spacing w:before="240"/>
      <w:ind w:left="2268" w:hanging="2268"/>
      <w:jc w:val="left"/>
    </w:pPr>
    <w:rPr>
      <w:rFonts w:ascii="Arial" w:eastAsia="Times New Roman" w:hAnsi="Arial" w:cs="Times New Roman"/>
      <w:sz w:val="20"/>
      <w:szCs w:val="24"/>
      <w:lang w:val="cs-CZ" w:eastAsia="cs-CZ"/>
    </w:rPr>
  </w:style>
  <w:style w:type="paragraph" w:customStyle="1" w:styleId="Nadpis30">
    <w:name w:val="Nadpis3"/>
    <w:basedOn w:val="Nadpis3"/>
    <w:link w:val="Nadpis3Char0"/>
    <w:qFormat/>
    <w:rsid w:val="00AA3A5F"/>
    <w:pPr>
      <w:numPr>
        <w:ilvl w:val="0"/>
        <w:numId w:val="0"/>
      </w:numPr>
      <w:spacing w:line="300" w:lineRule="atLeast"/>
      <w:jc w:val="left"/>
    </w:pPr>
    <w:rPr>
      <w:rFonts w:asciiTheme="majorHAnsi" w:hAnsiTheme="majorHAnsi"/>
      <w:b w:val="0"/>
      <w:bCs w:val="0"/>
      <w:i/>
      <w:color w:val="1F3763" w:themeColor="accent1" w:themeShade="7F"/>
      <w:szCs w:val="24"/>
      <w:lang w:val="cs-CZ" w:eastAsia="cs-CZ"/>
    </w:rPr>
  </w:style>
  <w:style w:type="character" w:customStyle="1" w:styleId="Nadpis3Char0">
    <w:name w:val="Nadpis3 Char"/>
    <w:basedOn w:val="Nadpis3Char"/>
    <w:link w:val="Nadpis30"/>
    <w:rsid w:val="00AA3A5F"/>
    <w:rPr>
      <w:rFonts w:asciiTheme="majorHAnsi" w:eastAsiaTheme="majorEastAsia" w:hAnsiTheme="majorHAnsi" w:cstheme="majorBidi"/>
      <w:b w:val="0"/>
      <w:bCs w:val="0"/>
      <w:i/>
      <w:color w:val="1F3763" w:themeColor="accent1" w:themeShade="7F"/>
      <w:sz w:val="24"/>
      <w:szCs w:val="24"/>
      <w:lang w:val="cs-CZ" w:eastAsia="cs-CZ"/>
    </w:rPr>
  </w:style>
  <w:style w:type="character" w:customStyle="1" w:styleId="h1a">
    <w:name w:val="h1a"/>
    <w:basedOn w:val="Standardnpsmoodstavce"/>
    <w:rsid w:val="00AA3A5F"/>
  </w:style>
  <w:style w:type="table" w:customStyle="1" w:styleId="TableGridLight1">
    <w:name w:val="Table Grid Light1"/>
    <w:basedOn w:val="Normlntabulka"/>
    <w:uiPriority w:val="40"/>
    <w:rsid w:val="00AA3A5F"/>
    <w:pPr>
      <w:spacing w:after="0" w:line="240" w:lineRule="auto"/>
    </w:pPr>
    <w:rPr>
      <w:lang w:val="cs-CZ" w:eastAsia="cs-CZ" w:bidi="cs-CZ"/>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nexetitre">
    <w:name w:val="Annexe titre"/>
    <w:basedOn w:val="Normln"/>
    <w:next w:val="Normln"/>
    <w:rsid w:val="00AA3A5F"/>
    <w:pPr>
      <w:spacing w:before="120" w:after="120"/>
      <w:jc w:val="center"/>
    </w:pPr>
    <w:rPr>
      <w:rFonts w:cs="Times New Roman"/>
      <w:b/>
      <w:u w:val="single"/>
      <w:lang w:val="cs-CZ" w:eastAsia="cs-CZ" w:bidi="cs-CZ"/>
    </w:rPr>
  </w:style>
  <w:style w:type="paragraph" w:customStyle="1" w:styleId="Norm-Bold">
    <w:name w:val="Norm-Bold"/>
    <w:basedOn w:val="Normln"/>
    <w:next w:val="Normln"/>
    <w:link w:val="Norm-BoldChar"/>
    <w:rsid w:val="00AA3A5F"/>
    <w:pPr>
      <w:keepNext/>
      <w:suppressAutoHyphens/>
      <w:spacing w:before="240" w:line="360" w:lineRule="atLeast"/>
      <w:outlineLvl w:val="4"/>
    </w:pPr>
    <w:rPr>
      <w:rFonts w:eastAsia="Times New Roman" w:cs="Calibri"/>
      <w:b/>
      <w:szCs w:val="23"/>
      <w:lang w:val="cs-CZ" w:eastAsia="ar-SA"/>
    </w:rPr>
  </w:style>
  <w:style w:type="character" w:customStyle="1" w:styleId="Norm-BoldChar">
    <w:name w:val="Norm-Bold Char"/>
    <w:link w:val="Norm-Bold"/>
    <w:rsid w:val="00AA3A5F"/>
    <w:rPr>
      <w:rFonts w:ascii="Times New Roman" w:eastAsia="Times New Roman" w:hAnsi="Times New Roman" w:cs="Calibri"/>
      <w:b/>
      <w:sz w:val="24"/>
      <w:szCs w:val="23"/>
      <w:lang w:val="cs-CZ" w:eastAsia="ar-SA"/>
    </w:rPr>
  </w:style>
  <w:style w:type="paragraph" w:customStyle="1" w:styleId="Norm-Ital">
    <w:name w:val="Norm-Ital"/>
    <w:basedOn w:val="Normln"/>
    <w:rsid w:val="00AA3A5F"/>
    <w:pPr>
      <w:keepNext/>
      <w:keepLines/>
      <w:widowControl w:val="0"/>
      <w:suppressAutoHyphens/>
      <w:adjustRightInd w:val="0"/>
      <w:spacing w:before="240" w:line="300" w:lineRule="atLeast"/>
      <w:textAlignment w:val="baseline"/>
      <w:outlineLvl w:val="6"/>
    </w:pPr>
    <w:rPr>
      <w:rFonts w:eastAsia="Times New Roman" w:cs="Calibri"/>
      <w:bCs/>
      <w:i/>
      <w:iCs/>
      <w:szCs w:val="23"/>
      <w:lang w:val="cs-CZ" w:eastAsia="ar-SA"/>
    </w:rPr>
  </w:style>
  <w:style w:type="paragraph" w:customStyle="1" w:styleId="mezera">
    <w:name w:val="mezera"/>
    <w:basedOn w:val="Normln"/>
    <w:link w:val="mezeraChar"/>
    <w:qFormat/>
    <w:rsid w:val="00AA3A5F"/>
    <w:pPr>
      <w:suppressAutoHyphens/>
    </w:pPr>
    <w:rPr>
      <w:rFonts w:eastAsia="Times New Roman" w:cs="Calibri"/>
      <w:sz w:val="16"/>
      <w:szCs w:val="23"/>
      <w:lang w:val="cs-CZ" w:eastAsia="ar-SA"/>
    </w:rPr>
  </w:style>
  <w:style w:type="character" w:customStyle="1" w:styleId="mezeraChar">
    <w:name w:val="mezera Char"/>
    <w:link w:val="mezera"/>
    <w:rsid w:val="00AA3A5F"/>
    <w:rPr>
      <w:rFonts w:ascii="Times New Roman" w:eastAsia="Times New Roman" w:hAnsi="Times New Roman" w:cs="Calibri"/>
      <w:sz w:val="16"/>
      <w:szCs w:val="23"/>
      <w:lang w:val="cs-CZ" w:eastAsia="ar-SA"/>
    </w:rPr>
  </w:style>
  <w:style w:type="character" w:customStyle="1" w:styleId="h1a5">
    <w:name w:val="h1a5"/>
    <w:basedOn w:val="Standardnpsmoodstavce"/>
    <w:rsid w:val="00AA3A5F"/>
    <w:rPr>
      <w:rFonts w:ascii="Arial" w:hAnsi="Arial" w:cs="Arial" w:hint="default"/>
      <w:i/>
      <w:iCs/>
      <w:vanish w:val="0"/>
      <w:webHidden w:val="0"/>
      <w:sz w:val="26"/>
      <w:szCs w:val="26"/>
      <w:specVanish w:val="0"/>
    </w:rPr>
  </w:style>
  <w:style w:type="paragraph" w:styleId="Seznamsodrkami3">
    <w:name w:val="List Bullet 3"/>
    <w:basedOn w:val="Normln"/>
    <w:rsid w:val="00AA3A5F"/>
    <w:pPr>
      <w:numPr>
        <w:numId w:val="29"/>
      </w:numPr>
      <w:spacing w:after="240"/>
    </w:pPr>
    <w:rPr>
      <w:rFonts w:eastAsia="Times New Roman" w:cs="Times New Roman"/>
      <w:szCs w:val="20"/>
      <w:lang w:val="cs-CZ"/>
    </w:rPr>
  </w:style>
  <w:style w:type="paragraph" w:styleId="slovanseznam">
    <w:name w:val="List Number"/>
    <w:basedOn w:val="Normln"/>
    <w:rsid w:val="00AA3A5F"/>
    <w:pPr>
      <w:numPr>
        <w:numId w:val="30"/>
      </w:numPr>
      <w:spacing w:after="240"/>
    </w:pPr>
    <w:rPr>
      <w:rFonts w:eastAsia="Times New Roman" w:cs="Times New Roman"/>
      <w:szCs w:val="20"/>
      <w:lang w:val="cs-CZ"/>
    </w:rPr>
  </w:style>
  <w:style w:type="paragraph" w:customStyle="1" w:styleId="ListNumberLevel2">
    <w:name w:val="List Number (Level 2)"/>
    <w:basedOn w:val="Normln"/>
    <w:rsid w:val="00AA3A5F"/>
    <w:pPr>
      <w:numPr>
        <w:ilvl w:val="1"/>
        <w:numId w:val="30"/>
      </w:numPr>
      <w:spacing w:after="240"/>
    </w:pPr>
    <w:rPr>
      <w:rFonts w:eastAsia="Times New Roman" w:cs="Times New Roman"/>
      <w:szCs w:val="20"/>
      <w:lang w:val="cs-CZ"/>
    </w:rPr>
  </w:style>
  <w:style w:type="paragraph" w:customStyle="1" w:styleId="ListNumberLevel3">
    <w:name w:val="List Number (Level 3)"/>
    <w:basedOn w:val="Normln"/>
    <w:rsid w:val="00AA3A5F"/>
    <w:pPr>
      <w:numPr>
        <w:ilvl w:val="2"/>
        <w:numId w:val="30"/>
      </w:numPr>
      <w:spacing w:after="240"/>
    </w:pPr>
    <w:rPr>
      <w:rFonts w:eastAsia="Times New Roman" w:cs="Times New Roman"/>
      <w:szCs w:val="20"/>
      <w:lang w:val="cs-CZ"/>
    </w:rPr>
  </w:style>
  <w:style w:type="paragraph" w:customStyle="1" w:styleId="ListNumberLevel4">
    <w:name w:val="List Number (Level 4)"/>
    <w:basedOn w:val="Normln"/>
    <w:rsid w:val="00AA3A5F"/>
    <w:pPr>
      <w:numPr>
        <w:ilvl w:val="3"/>
        <w:numId w:val="30"/>
      </w:numPr>
      <w:spacing w:after="240"/>
    </w:pPr>
    <w:rPr>
      <w:rFonts w:eastAsia="Times New Roman" w:cs="Times New Roman"/>
      <w:szCs w:val="20"/>
      <w:lang w:val="cs-CZ"/>
    </w:rPr>
  </w:style>
  <w:style w:type="paragraph" w:customStyle="1" w:styleId="TabPoz">
    <w:name w:val="TabPoz"/>
    <w:basedOn w:val="Normln"/>
    <w:rsid w:val="00AA3A5F"/>
    <w:pPr>
      <w:keepNext/>
      <w:spacing w:before="60"/>
      <w:ind w:left="284" w:hanging="284"/>
    </w:pPr>
    <w:rPr>
      <w:rFonts w:ascii="Arial" w:eastAsia="Calibri" w:hAnsi="Arial" w:cs="Times New Roman"/>
      <w:i/>
      <w:sz w:val="16"/>
      <w:lang w:val="cs-CZ"/>
    </w:rPr>
  </w:style>
  <w:style w:type="paragraph" w:styleId="Textvysvtlivek">
    <w:name w:val="endnote text"/>
    <w:basedOn w:val="Normln"/>
    <w:link w:val="TextvysvtlivekChar"/>
    <w:uiPriority w:val="99"/>
    <w:semiHidden/>
    <w:unhideWhenUsed/>
    <w:rsid w:val="00AA3A5F"/>
    <w:pPr>
      <w:ind w:firstLine="567"/>
    </w:pPr>
    <w:rPr>
      <w:rFonts w:eastAsia="Times New Roman" w:cs="Times New Roman"/>
      <w:sz w:val="20"/>
      <w:szCs w:val="20"/>
      <w:lang w:val="cs-CZ" w:eastAsia="cs-CZ"/>
    </w:rPr>
  </w:style>
  <w:style w:type="character" w:customStyle="1" w:styleId="TextvysvtlivekChar">
    <w:name w:val="Text vysvětlivek Char"/>
    <w:basedOn w:val="Standardnpsmoodstavce"/>
    <w:link w:val="Textvysvtlivek"/>
    <w:uiPriority w:val="99"/>
    <w:semiHidden/>
    <w:rsid w:val="00AA3A5F"/>
    <w:rPr>
      <w:rFonts w:ascii="Times New Roman" w:eastAsia="Times New Roman" w:hAnsi="Times New Roman" w:cs="Times New Roman"/>
      <w:sz w:val="20"/>
      <w:szCs w:val="20"/>
      <w:lang w:val="cs-CZ" w:eastAsia="cs-CZ"/>
    </w:rPr>
  </w:style>
  <w:style w:type="character" w:styleId="Odkaznavysvtlivky">
    <w:name w:val="endnote reference"/>
    <w:basedOn w:val="Standardnpsmoodstavce"/>
    <w:uiPriority w:val="99"/>
    <w:semiHidden/>
    <w:unhideWhenUsed/>
    <w:rsid w:val="00AA3A5F"/>
    <w:rPr>
      <w:vertAlign w:val="superscript"/>
    </w:rPr>
  </w:style>
  <w:style w:type="paragraph" w:customStyle="1" w:styleId="xmsolistparagraph">
    <w:name w:val="x_msolistparagraph"/>
    <w:basedOn w:val="Normln"/>
    <w:rsid w:val="00AA3A5F"/>
    <w:pPr>
      <w:spacing w:before="100" w:beforeAutospacing="1" w:after="100" w:afterAutospacing="1"/>
      <w:jc w:val="left"/>
    </w:pPr>
    <w:rPr>
      <w:rFonts w:eastAsia="Times New Roman" w:cs="Times New Roman"/>
      <w:szCs w:val="24"/>
      <w:lang w:val="cs-CZ" w:eastAsia="cs-CZ"/>
    </w:rPr>
  </w:style>
  <w:style w:type="paragraph" w:customStyle="1" w:styleId="xpoint1">
    <w:name w:val="x_point1"/>
    <w:basedOn w:val="Normln"/>
    <w:rsid w:val="00AA3A5F"/>
    <w:pPr>
      <w:spacing w:before="100" w:beforeAutospacing="1" w:after="100" w:afterAutospacing="1"/>
      <w:jc w:val="left"/>
    </w:pPr>
    <w:rPr>
      <w:rFonts w:eastAsia="Times New Roman" w:cs="Times New Roman"/>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06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chart" Target="charts/chart4.xml"/><Relationship Id="rId26" Type="http://schemas.openxmlformats.org/officeDocument/2006/relationships/footer" Target="footer5.xml"/><Relationship Id="rId39" Type="http://schemas.openxmlformats.org/officeDocument/2006/relationships/image" Target="media/image10.emf"/><Relationship Id="rId21" Type="http://schemas.openxmlformats.org/officeDocument/2006/relationships/footer" Target="footer4.xml"/><Relationship Id="rId34" Type="http://schemas.openxmlformats.org/officeDocument/2006/relationships/image" Target="media/image5.emf"/><Relationship Id="rId42" Type="http://schemas.openxmlformats.org/officeDocument/2006/relationships/image" Target="media/image13.png"/><Relationship Id="rId47" Type="http://schemas.openxmlformats.org/officeDocument/2006/relationships/chart" Target="charts/chart8.xml"/><Relationship Id="rId50" Type="http://schemas.openxmlformats.org/officeDocument/2006/relationships/chart" Target="charts/chart11.xml"/><Relationship Id="rId55" Type="http://schemas.openxmlformats.org/officeDocument/2006/relationships/footer" Target="foot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2.xml"/><Relationship Id="rId29" Type="http://schemas.openxmlformats.org/officeDocument/2006/relationships/hyperlink" Target="http://eagri.cz/public/web/mze/dotace/program-rozvoje-venkova-na-obdobi-2014/hodnoceni-a-monitoring/hodnoceni/strednedobe-hodnoceni-prv-2014-2020.html" TargetMode="Externa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image" Target="media/image3.wmf"/><Relationship Id="rId37" Type="http://schemas.openxmlformats.org/officeDocument/2006/relationships/image" Target="media/image8.emf"/><Relationship Id="rId40" Type="http://schemas.openxmlformats.org/officeDocument/2006/relationships/image" Target="media/image11.jpg"/><Relationship Id="rId45" Type="http://schemas.openxmlformats.org/officeDocument/2006/relationships/chart" Target="charts/chart6.xml"/><Relationship Id="rId53" Type="http://schemas.openxmlformats.org/officeDocument/2006/relationships/header" Target="header10.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yperlink" Target="http://www.eagri.cz" TargetMode="External"/><Relationship Id="rId35" Type="http://schemas.openxmlformats.org/officeDocument/2006/relationships/image" Target="media/image6.emf"/><Relationship Id="rId43" Type="http://schemas.openxmlformats.org/officeDocument/2006/relationships/image" Target="media/image14.png"/><Relationship Id="rId48" Type="http://schemas.openxmlformats.org/officeDocument/2006/relationships/chart" Target="charts/chart9.xml"/><Relationship Id="rId56" Type="http://schemas.openxmlformats.org/officeDocument/2006/relationships/header" Target="header12.xml"/><Relationship Id="rId8" Type="http://schemas.openxmlformats.org/officeDocument/2006/relationships/image" Target="media/image1.png"/><Relationship Id="rId51" Type="http://schemas.openxmlformats.org/officeDocument/2006/relationships/chart" Target="charts/chart12.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chart" Target="charts/chart3.xml"/><Relationship Id="rId25" Type="http://schemas.openxmlformats.org/officeDocument/2006/relationships/header" Target="header8.xml"/><Relationship Id="rId33" Type="http://schemas.openxmlformats.org/officeDocument/2006/relationships/image" Target="media/image4.emf"/><Relationship Id="rId38" Type="http://schemas.openxmlformats.org/officeDocument/2006/relationships/image" Target="media/image9.emf"/><Relationship Id="rId46" Type="http://schemas.openxmlformats.org/officeDocument/2006/relationships/chart" Target="charts/chart7.xml"/><Relationship Id="rId20" Type="http://schemas.openxmlformats.org/officeDocument/2006/relationships/header" Target="header5.xml"/><Relationship Id="rId41" Type="http://schemas.openxmlformats.org/officeDocument/2006/relationships/image" Target="media/image12.jpg"/><Relationship Id="rId54"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hyperlink" Target="file:///C:\Users\boskova\Documents\SZP%20na&#345;&#237;zen&#237;\2020+\Odv&#283;tvov&#233;%20intervence\Teorie%20zm&#283;ny%20po%20sch&#367;zce%20v%20z&#225;&#345;&#237;\Vejce\181018%20Teorie%20zm&#283;ny_Vejce.xlsx" TargetMode="External"/><Relationship Id="rId28" Type="http://schemas.openxmlformats.org/officeDocument/2006/relationships/hyperlink" Target="http://dx.doi.org/10.1016/j.foodpol.2012.07.005.%20" TargetMode="External"/><Relationship Id="rId36" Type="http://schemas.openxmlformats.org/officeDocument/2006/relationships/image" Target="media/image7.emf"/><Relationship Id="rId49" Type="http://schemas.openxmlformats.org/officeDocument/2006/relationships/chart" Target="charts/chart10.xml"/><Relationship Id="rId57" Type="http://schemas.openxmlformats.org/officeDocument/2006/relationships/fontTable" Target="fontTable.xml"/><Relationship Id="rId10" Type="http://schemas.openxmlformats.org/officeDocument/2006/relationships/header" Target="header2.xml"/><Relationship Id="rId31" Type="http://schemas.openxmlformats.org/officeDocument/2006/relationships/image" Target="media/image2.emf"/><Relationship Id="rId44" Type="http://schemas.openxmlformats.org/officeDocument/2006/relationships/chart" Target="charts/chart5.xml"/><Relationship Id="rId52" Type="http://schemas.openxmlformats.org/officeDocument/2006/relationships/chart" Target="charts/chart13.xml"/></Relationships>
</file>

<file path=word/_rels/footnotes.xml.rels><?xml version="1.0" encoding="UTF-8" standalone="yes"?>
<Relationships xmlns="http://schemas.openxmlformats.org/package/2006/relationships"><Relationship Id="rId1" Type="http://schemas.openxmlformats.org/officeDocument/2006/relationships/hyperlink" Target="http://eagri.cz/public/web/mze/dotace/program-rozvoje-venkova-na-obdobi-2014/hodnoceni-a-monitoring/hodnoceni/strednedobe-hodnoceni-prv-2014-2020-v.html"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SZP\Inventury%20stavu%20prac&#237;\Anal&#253;za%20C%20pro%20odevzd&#225;n&#237;%2031_10_2019\Od%20Martina\Se&#353;it1.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1" Type="http://schemas.openxmlformats.org/officeDocument/2006/relationships/oleObject" Target="file:///C:\Users\rudinskaya\Documents\TU3\T&#218;_53_2019\Datamlekograf.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rudinskaya\Documents\TU3\T&#218;_53_2019\DataporkNew.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rudinskaya\Documents\TU3\T&#218;_53_2019\DataporkNew.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E:\SZP\Vertik&#225;la\KD&#344;\ARZ%20formy%20prodeje.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SZP\Inventury%20stavu%20prac&#237;\Anal&#253;za%20C%20pro%20odevzd&#225;n&#237;%2031_10_2019\Od%20Martina\Se&#353;it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SZP\Inventury%20stavu%20prac&#237;\Anal&#253;za%20C%20pro%20odevzd&#225;n&#237;%2031_10_2019\Od%20Martina\Se&#353;it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SZP\Inventury%20stavu%20prac&#237;\Anal&#253;za%20C%20pro%20odevzd&#225;n&#237;%2031_10_2019\Od%20Martina\Se&#353;it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1" Type="http://schemas.openxmlformats.org/officeDocument/2006/relationships/oleObject" Target="file:///E:\SZP\Vertik&#225;la\KD&#344;\GRAFY%20hl.%20nakupni%20misto%20potravin.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SZP\Vertik&#225;la\KD&#344;\GRAFY%20hl.%20nakupni%20misto%20potravin.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SZP\Vertik&#225;la\KD&#344;\GRAFY%20hl.%20nakupni%20misto%20potravin.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SZP\Vertik&#225;la\KD&#344;\GRAFY%20hl.%20nakupni%20misto%20potravin.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SZP\Vertik&#225;la\KD&#344;\GRAFY%20hl.%20nakupni%20misto%20potravi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173327047303832E-2"/>
          <c:y val="3.9963680823783911E-2"/>
          <c:w val="0.92909573403541768"/>
          <c:h val="0.74220279122137822"/>
        </c:manualLayout>
      </c:layout>
      <c:barChart>
        <c:barDir val="col"/>
        <c:grouping val="stacked"/>
        <c:varyColors val="0"/>
        <c:ser>
          <c:idx val="0"/>
          <c:order val="0"/>
          <c:tx>
            <c:strRef>
              <c:f>List1!$B$4</c:f>
              <c:strCache>
                <c:ptCount val="1"/>
                <c:pt idx="0">
                  <c:v>Vícekrát týdně</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List1!$C$3:$I$3</c:f>
              <c:strCache>
                <c:ptCount val="7"/>
                <c:pt idx="0">
                  <c:v>hyper/super-markety</c:v>
                </c:pt>
                <c:pt idx="1">
                  <c:v>diskontní prodejny</c:v>
                </c:pt>
                <c:pt idx="2">
                  <c:v>malé prodejny</c:v>
                </c:pt>
                <c:pt idx="3">
                  <c:v>specializované prodejny</c:v>
                </c:pt>
                <c:pt idx="4">
                  <c:v>farmářské trhy</c:v>
                </c:pt>
                <c:pt idx="5">
                  <c:v>e-shopy</c:v>
                </c:pt>
                <c:pt idx="6">
                  <c:v>v místě výroby</c:v>
                </c:pt>
              </c:strCache>
            </c:strRef>
          </c:cat>
          <c:val>
            <c:numRef>
              <c:f>List1!$C$4:$I$4</c:f>
              <c:numCache>
                <c:formatCode>General</c:formatCode>
                <c:ptCount val="7"/>
                <c:pt idx="0">
                  <c:v>34</c:v>
                </c:pt>
                <c:pt idx="1">
                  <c:v>27</c:v>
                </c:pt>
                <c:pt idx="2">
                  <c:v>24</c:v>
                </c:pt>
                <c:pt idx="3">
                  <c:v>18</c:v>
                </c:pt>
                <c:pt idx="4">
                  <c:v>1</c:v>
                </c:pt>
                <c:pt idx="5">
                  <c:v>2</c:v>
                </c:pt>
                <c:pt idx="6">
                  <c:v>2</c:v>
                </c:pt>
              </c:numCache>
            </c:numRef>
          </c:val>
          <c:extLst>
            <c:ext xmlns:c16="http://schemas.microsoft.com/office/drawing/2014/chart" uri="{C3380CC4-5D6E-409C-BE32-E72D297353CC}">
              <c16:uniqueId val="{00000000-C4EB-0943-A051-0478AFAC04D4}"/>
            </c:ext>
          </c:extLst>
        </c:ser>
        <c:ser>
          <c:idx val="1"/>
          <c:order val="1"/>
          <c:tx>
            <c:strRef>
              <c:f>List1!$B$5</c:f>
              <c:strCache>
                <c:ptCount val="1"/>
                <c:pt idx="0">
                  <c:v>1xtýdně</c:v>
                </c:pt>
              </c:strCache>
            </c:strRef>
          </c:tx>
          <c:spPr>
            <a:solidFill>
              <a:srgbClr val="92D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List1!$C$3:$I$3</c:f>
              <c:strCache>
                <c:ptCount val="7"/>
                <c:pt idx="0">
                  <c:v>hyper/super-markety</c:v>
                </c:pt>
                <c:pt idx="1">
                  <c:v>diskontní prodejny</c:v>
                </c:pt>
                <c:pt idx="2">
                  <c:v>malé prodejny</c:v>
                </c:pt>
                <c:pt idx="3">
                  <c:v>specializované prodejny</c:v>
                </c:pt>
                <c:pt idx="4">
                  <c:v>farmářské trhy</c:v>
                </c:pt>
                <c:pt idx="5">
                  <c:v>e-shopy</c:v>
                </c:pt>
                <c:pt idx="6">
                  <c:v>v místě výroby</c:v>
                </c:pt>
              </c:strCache>
            </c:strRef>
          </c:cat>
          <c:val>
            <c:numRef>
              <c:f>List1!$C$5:$I$5</c:f>
              <c:numCache>
                <c:formatCode>General</c:formatCode>
                <c:ptCount val="7"/>
                <c:pt idx="0">
                  <c:v>34</c:v>
                </c:pt>
                <c:pt idx="1">
                  <c:v>30</c:v>
                </c:pt>
                <c:pt idx="2">
                  <c:v>16</c:v>
                </c:pt>
                <c:pt idx="3">
                  <c:v>25</c:v>
                </c:pt>
                <c:pt idx="4">
                  <c:v>5</c:v>
                </c:pt>
                <c:pt idx="5">
                  <c:v>3</c:v>
                </c:pt>
                <c:pt idx="6">
                  <c:v>4</c:v>
                </c:pt>
              </c:numCache>
            </c:numRef>
          </c:val>
          <c:extLst>
            <c:ext xmlns:c16="http://schemas.microsoft.com/office/drawing/2014/chart" uri="{C3380CC4-5D6E-409C-BE32-E72D297353CC}">
              <c16:uniqueId val="{00000001-C4EB-0943-A051-0478AFAC04D4}"/>
            </c:ext>
          </c:extLst>
        </c:ser>
        <c:ser>
          <c:idx val="2"/>
          <c:order val="2"/>
          <c:tx>
            <c:strRef>
              <c:f>List1!$B$6</c:f>
              <c:strCache>
                <c:ptCount val="1"/>
                <c:pt idx="0">
                  <c:v>1xza 2 týdny</c:v>
                </c:pt>
              </c:strCache>
            </c:strRef>
          </c:tx>
          <c:spPr>
            <a:solidFill>
              <a:srgbClr val="99FF9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List1!$C$3:$I$3</c:f>
              <c:strCache>
                <c:ptCount val="7"/>
                <c:pt idx="0">
                  <c:v>hyper/super-markety</c:v>
                </c:pt>
                <c:pt idx="1">
                  <c:v>diskontní prodejny</c:v>
                </c:pt>
                <c:pt idx="2">
                  <c:v>malé prodejny</c:v>
                </c:pt>
                <c:pt idx="3">
                  <c:v>specializované prodejny</c:v>
                </c:pt>
                <c:pt idx="4">
                  <c:v>farmářské trhy</c:v>
                </c:pt>
                <c:pt idx="5">
                  <c:v>e-shopy</c:v>
                </c:pt>
                <c:pt idx="6">
                  <c:v>v místě výroby</c:v>
                </c:pt>
              </c:strCache>
            </c:strRef>
          </c:cat>
          <c:val>
            <c:numRef>
              <c:f>List1!$C$6:$I$6</c:f>
              <c:numCache>
                <c:formatCode>General</c:formatCode>
                <c:ptCount val="7"/>
                <c:pt idx="0">
                  <c:v>16</c:v>
                </c:pt>
                <c:pt idx="1">
                  <c:v>18</c:v>
                </c:pt>
                <c:pt idx="2">
                  <c:v>13</c:v>
                </c:pt>
                <c:pt idx="3">
                  <c:v>19</c:v>
                </c:pt>
                <c:pt idx="4">
                  <c:v>5</c:v>
                </c:pt>
                <c:pt idx="5">
                  <c:v>3</c:v>
                </c:pt>
                <c:pt idx="6">
                  <c:v>3</c:v>
                </c:pt>
              </c:numCache>
            </c:numRef>
          </c:val>
          <c:extLst>
            <c:ext xmlns:c16="http://schemas.microsoft.com/office/drawing/2014/chart" uri="{C3380CC4-5D6E-409C-BE32-E72D297353CC}">
              <c16:uniqueId val="{00000002-C4EB-0943-A051-0478AFAC04D4}"/>
            </c:ext>
          </c:extLst>
        </c:ser>
        <c:ser>
          <c:idx val="3"/>
          <c:order val="3"/>
          <c:tx>
            <c:strRef>
              <c:f>List1!$B$7</c:f>
              <c:strCache>
                <c:ptCount val="1"/>
                <c:pt idx="0">
                  <c:v>1xza měsíc</c:v>
                </c:pt>
              </c:strCache>
            </c:strRef>
          </c:tx>
          <c:spPr>
            <a:solidFill>
              <a:schemeClr val="accent4">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List1!$C$3:$I$3</c:f>
              <c:strCache>
                <c:ptCount val="7"/>
                <c:pt idx="0">
                  <c:v>hyper/super-markety</c:v>
                </c:pt>
                <c:pt idx="1">
                  <c:v>diskontní prodejny</c:v>
                </c:pt>
                <c:pt idx="2">
                  <c:v>malé prodejny</c:v>
                </c:pt>
                <c:pt idx="3">
                  <c:v>specializované prodejny</c:v>
                </c:pt>
                <c:pt idx="4">
                  <c:v>farmářské trhy</c:v>
                </c:pt>
                <c:pt idx="5">
                  <c:v>e-shopy</c:v>
                </c:pt>
                <c:pt idx="6">
                  <c:v>v místě výroby</c:v>
                </c:pt>
              </c:strCache>
            </c:strRef>
          </c:cat>
          <c:val>
            <c:numRef>
              <c:f>List1!$C$7:$I$7</c:f>
              <c:numCache>
                <c:formatCode>General</c:formatCode>
                <c:ptCount val="7"/>
                <c:pt idx="0">
                  <c:v>9</c:v>
                </c:pt>
                <c:pt idx="1">
                  <c:v>11</c:v>
                </c:pt>
                <c:pt idx="2">
                  <c:v>11</c:v>
                </c:pt>
                <c:pt idx="3">
                  <c:v>14</c:v>
                </c:pt>
                <c:pt idx="4">
                  <c:v>13</c:v>
                </c:pt>
                <c:pt idx="5">
                  <c:v>4</c:v>
                </c:pt>
                <c:pt idx="6">
                  <c:v>7</c:v>
                </c:pt>
              </c:numCache>
            </c:numRef>
          </c:val>
          <c:extLst>
            <c:ext xmlns:c16="http://schemas.microsoft.com/office/drawing/2014/chart" uri="{C3380CC4-5D6E-409C-BE32-E72D297353CC}">
              <c16:uniqueId val="{00000003-C4EB-0943-A051-0478AFAC04D4}"/>
            </c:ext>
          </c:extLst>
        </c:ser>
        <c:ser>
          <c:idx val="4"/>
          <c:order val="4"/>
          <c:tx>
            <c:strRef>
              <c:f>List1!$B$8</c:f>
              <c:strCache>
                <c:ptCount val="1"/>
                <c:pt idx="0">
                  <c:v>Méně často</c:v>
                </c:pt>
              </c:strCache>
            </c:strRef>
          </c:tx>
          <c:spPr>
            <a:solidFill>
              <a:schemeClr val="accent5">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List1!$C$3:$I$3</c:f>
              <c:strCache>
                <c:ptCount val="7"/>
                <c:pt idx="0">
                  <c:v>hyper/super-markety</c:v>
                </c:pt>
                <c:pt idx="1">
                  <c:v>diskontní prodejny</c:v>
                </c:pt>
                <c:pt idx="2">
                  <c:v>malé prodejny</c:v>
                </c:pt>
                <c:pt idx="3">
                  <c:v>specializované prodejny</c:v>
                </c:pt>
                <c:pt idx="4">
                  <c:v>farmářské trhy</c:v>
                </c:pt>
                <c:pt idx="5">
                  <c:v>e-shopy</c:v>
                </c:pt>
                <c:pt idx="6">
                  <c:v>v místě výroby</c:v>
                </c:pt>
              </c:strCache>
            </c:strRef>
          </c:cat>
          <c:val>
            <c:numRef>
              <c:f>List1!$C$8:$I$8</c:f>
              <c:numCache>
                <c:formatCode>General</c:formatCode>
                <c:ptCount val="7"/>
                <c:pt idx="0">
                  <c:v>7</c:v>
                </c:pt>
                <c:pt idx="1">
                  <c:v>9</c:v>
                </c:pt>
                <c:pt idx="2">
                  <c:v>25</c:v>
                </c:pt>
                <c:pt idx="3">
                  <c:v>19</c:v>
                </c:pt>
                <c:pt idx="4">
                  <c:v>48</c:v>
                </c:pt>
                <c:pt idx="5">
                  <c:v>18</c:v>
                </c:pt>
                <c:pt idx="6">
                  <c:v>34</c:v>
                </c:pt>
              </c:numCache>
            </c:numRef>
          </c:val>
          <c:extLst>
            <c:ext xmlns:c16="http://schemas.microsoft.com/office/drawing/2014/chart" uri="{C3380CC4-5D6E-409C-BE32-E72D297353CC}">
              <c16:uniqueId val="{00000004-C4EB-0943-A051-0478AFAC04D4}"/>
            </c:ext>
          </c:extLst>
        </c:ser>
        <c:ser>
          <c:idx val="5"/>
          <c:order val="5"/>
          <c:tx>
            <c:strRef>
              <c:f>List1!$B$9</c:f>
              <c:strCache>
                <c:ptCount val="1"/>
                <c:pt idx="0">
                  <c:v>Nikdy</c:v>
                </c:pt>
              </c:strCache>
            </c:strRef>
          </c:tx>
          <c:spPr>
            <a:solidFill>
              <a:schemeClr val="accent3">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List1!$C$3:$I$3</c:f>
              <c:strCache>
                <c:ptCount val="7"/>
                <c:pt idx="0">
                  <c:v>hyper/super-markety</c:v>
                </c:pt>
                <c:pt idx="1">
                  <c:v>diskontní prodejny</c:v>
                </c:pt>
                <c:pt idx="2">
                  <c:v>malé prodejny</c:v>
                </c:pt>
                <c:pt idx="3">
                  <c:v>specializované prodejny</c:v>
                </c:pt>
                <c:pt idx="4">
                  <c:v>farmářské trhy</c:v>
                </c:pt>
                <c:pt idx="5">
                  <c:v>e-shopy</c:v>
                </c:pt>
                <c:pt idx="6">
                  <c:v>v místě výroby</c:v>
                </c:pt>
              </c:strCache>
            </c:strRef>
          </c:cat>
          <c:val>
            <c:numRef>
              <c:f>List1!$C$9:$I$9</c:f>
              <c:numCache>
                <c:formatCode>General</c:formatCode>
                <c:ptCount val="7"/>
                <c:pt idx="1">
                  <c:v>4</c:v>
                </c:pt>
                <c:pt idx="2">
                  <c:v>10</c:v>
                </c:pt>
                <c:pt idx="3">
                  <c:v>4</c:v>
                </c:pt>
                <c:pt idx="4">
                  <c:v>28</c:v>
                </c:pt>
                <c:pt idx="5">
                  <c:v>71</c:v>
                </c:pt>
                <c:pt idx="6">
                  <c:v>50</c:v>
                </c:pt>
              </c:numCache>
            </c:numRef>
          </c:val>
          <c:extLst>
            <c:ext xmlns:c16="http://schemas.microsoft.com/office/drawing/2014/chart" uri="{C3380CC4-5D6E-409C-BE32-E72D297353CC}">
              <c16:uniqueId val="{00000005-C4EB-0943-A051-0478AFAC04D4}"/>
            </c:ext>
          </c:extLst>
        </c:ser>
        <c:dLbls>
          <c:dLblPos val="ctr"/>
          <c:showLegendKey val="0"/>
          <c:showVal val="1"/>
          <c:showCatName val="0"/>
          <c:showSerName val="0"/>
          <c:showPercent val="0"/>
          <c:showBubbleSize val="0"/>
        </c:dLbls>
        <c:gapWidth val="150"/>
        <c:overlap val="100"/>
        <c:axId val="458798024"/>
        <c:axId val="458795728"/>
      </c:barChart>
      <c:catAx>
        <c:axId val="458798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458795728"/>
        <c:crosses val="autoZero"/>
        <c:auto val="1"/>
        <c:lblAlgn val="ctr"/>
        <c:lblOffset val="100"/>
        <c:tickLblSkip val="1"/>
        <c:noMultiLvlLbl val="0"/>
      </c:catAx>
      <c:valAx>
        <c:axId val="458795728"/>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4587980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488964860916636"/>
          <c:y val="3.2859839855996706E-2"/>
          <c:w val="0.82287659192716389"/>
          <c:h val="0.69777696087280461"/>
        </c:manualLayout>
      </c:layout>
      <c:lineChart>
        <c:grouping val="standard"/>
        <c:varyColors val="0"/>
        <c:ser>
          <c:idx val="0"/>
          <c:order val="0"/>
          <c:tx>
            <c:strRef>
              <c:f>Datamlekograf!$B$1</c:f>
              <c:strCache>
                <c:ptCount val="1"/>
                <c:pt idx="0">
                  <c:v>Mléko SZV</c:v>
                </c:pt>
              </c:strCache>
            </c:strRef>
          </c:tx>
          <c:spPr>
            <a:ln>
              <a:solidFill>
                <a:srgbClr val="0070C0"/>
              </a:solidFill>
            </a:ln>
          </c:spPr>
          <c:marker>
            <c:symbol val="none"/>
          </c:marker>
          <c:trendline>
            <c:trendlineType val="linear"/>
            <c:dispRSqr val="1"/>
            <c:dispEq val="0"/>
            <c:trendlineLbl>
              <c:layout>
                <c:manualLayout>
                  <c:x val="2.0333024191837453E-3"/>
                  <c:y val="2.9703475612868104E-2"/>
                </c:manualLayout>
              </c:layout>
              <c:numFmt formatCode="General" sourceLinked="0"/>
            </c:trendlineLbl>
          </c:trendline>
          <c:cat>
            <c:numRef>
              <c:f>Datamlekograf!$A$2:$A$174</c:f>
              <c:numCache>
                <c:formatCode>General</c:formatCode>
                <c:ptCount val="173"/>
                <c:pt idx="0">
                  <c:v>106</c:v>
                </c:pt>
                <c:pt idx="1">
                  <c:v>206</c:v>
                </c:pt>
                <c:pt idx="2">
                  <c:v>306</c:v>
                </c:pt>
                <c:pt idx="3">
                  <c:v>406</c:v>
                </c:pt>
                <c:pt idx="4">
                  <c:v>506</c:v>
                </c:pt>
                <c:pt idx="5">
                  <c:v>606</c:v>
                </c:pt>
                <c:pt idx="6">
                  <c:v>706</c:v>
                </c:pt>
                <c:pt idx="7">
                  <c:v>806</c:v>
                </c:pt>
                <c:pt idx="8">
                  <c:v>906</c:v>
                </c:pt>
                <c:pt idx="9">
                  <c:v>1006</c:v>
                </c:pt>
                <c:pt idx="10">
                  <c:v>1106</c:v>
                </c:pt>
                <c:pt idx="11">
                  <c:v>1206</c:v>
                </c:pt>
                <c:pt idx="12">
                  <c:v>107</c:v>
                </c:pt>
                <c:pt idx="13">
                  <c:v>207</c:v>
                </c:pt>
                <c:pt idx="14">
                  <c:v>307</c:v>
                </c:pt>
                <c:pt idx="15">
                  <c:v>407</c:v>
                </c:pt>
                <c:pt idx="16">
                  <c:v>507</c:v>
                </c:pt>
                <c:pt idx="17">
                  <c:v>607</c:v>
                </c:pt>
                <c:pt idx="18">
                  <c:v>707</c:v>
                </c:pt>
                <c:pt idx="19">
                  <c:v>807</c:v>
                </c:pt>
                <c:pt idx="20">
                  <c:v>907</c:v>
                </c:pt>
                <c:pt idx="21">
                  <c:v>1007</c:v>
                </c:pt>
                <c:pt idx="22">
                  <c:v>1107</c:v>
                </c:pt>
                <c:pt idx="23">
                  <c:v>1207</c:v>
                </c:pt>
                <c:pt idx="24">
                  <c:v>108</c:v>
                </c:pt>
                <c:pt idx="25">
                  <c:v>208</c:v>
                </c:pt>
                <c:pt idx="26">
                  <c:v>308</c:v>
                </c:pt>
                <c:pt idx="27">
                  <c:v>408</c:v>
                </c:pt>
                <c:pt idx="28">
                  <c:v>508</c:v>
                </c:pt>
                <c:pt idx="29">
                  <c:v>608</c:v>
                </c:pt>
                <c:pt idx="30">
                  <c:v>708</c:v>
                </c:pt>
                <c:pt idx="31">
                  <c:v>808</c:v>
                </c:pt>
                <c:pt idx="32">
                  <c:v>908</c:v>
                </c:pt>
                <c:pt idx="33">
                  <c:v>1008</c:v>
                </c:pt>
                <c:pt idx="34">
                  <c:v>1108</c:v>
                </c:pt>
                <c:pt idx="35">
                  <c:v>1208</c:v>
                </c:pt>
                <c:pt idx="36">
                  <c:v>109</c:v>
                </c:pt>
                <c:pt idx="37">
                  <c:v>209</c:v>
                </c:pt>
                <c:pt idx="38">
                  <c:v>309</c:v>
                </c:pt>
                <c:pt idx="39">
                  <c:v>409</c:v>
                </c:pt>
                <c:pt idx="40">
                  <c:v>509</c:v>
                </c:pt>
                <c:pt idx="41">
                  <c:v>609</c:v>
                </c:pt>
                <c:pt idx="42">
                  <c:v>709</c:v>
                </c:pt>
                <c:pt idx="43">
                  <c:v>809</c:v>
                </c:pt>
                <c:pt idx="44">
                  <c:v>909</c:v>
                </c:pt>
                <c:pt idx="45">
                  <c:v>1009</c:v>
                </c:pt>
                <c:pt idx="46">
                  <c:v>1109</c:v>
                </c:pt>
                <c:pt idx="47">
                  <c:v>1209</c:v>
                </c:pt>
                <c:pt idx="48">
                  <c:v>110</c:v>
                </c:pt>
                <c:pt idx="49">
                  <c:v>210</c:v>
                </c:pt>
                <c:pt idx="50">
                  <c:v>310</c:v>
                </c:pt>
                <c:pt idx="51">
                  <c:v>410</c:v>
                </c:pt>
                <c:pt idx="52">
                  <c:v>510</c:v>
                </c:pt>
                <c:pt idx="53">
                  <c:v>610</c:v>
                </c:pt>
                <c:pt idx="54">
                  <c:v>710</c:v>
                </c:pt>
                <c:pt idx="55">
                  <c:v>810</c:v>
                </c:pt>
                <c:pt idx="56">
                  <c:v>910</c:v>
                </c:pt>
                <c:pt idx="57">
                  <c:v>1010</c:v>
                </c:pt>
                <c:pt idx="58">
                  <c:v>1110</c:v>
                </c:pt>
                <c:pt idx="59">
                  <c:v>1210</c:v>
                </c:pt>
                <c:pt idx="60">
                  <c:v>111</c:v>
                </c:pt>
                <c:pt idx="61">
                  <c:v>211</c:v>
                </c:pt>
                <c:pt idx="62">
                  <c:v>311</c:v>
                </c:pt>
                <c:pt idx="63">
                  <c:v>411</c:v>
                </c:pt>
                <c:pt idx="64">
                  <c:v>511</c:v>
                </c:pt>
                <c:pt idx="65">
                  <c:v>611</c:v>
                </c:pt>
                <c:pt idx="66">
                  <c:v>711</c:v>
                </c:pt>
                <c:pt idx="67">
                  <c:v>811</c:v>
                </c:pt>
                <c:pt idx="68">
                  <c:v>911</c:v>
                </c:pt>
                <c:pt idx="69">
                  <c:v>1011</c:v>
                </c:pt>
                <c:pt idx="70">
                  <c:v>1111</c:v>
                </c:pt>
                <c:pt idx="71">
                  <c:v>1211</c:v>
                </c:pt>
                <c:pt idx="72">
                  <c:v>112</c:v>
                </c:pt>
                <c:pt idx="73">
                  <c:v>212</c:v>
                </c:pt>
                <c:pt idx="74">
                  <c:v>312</c:v>
                </c:pt>
                <c:pt idx="75">
                  <c:v>412</c:v>
                </c:pt>
                <c:pt idx="76">
                  <c:v>512</c:v>
                </c:pt>
                <c:pt idx="77">
                  <c:v>612</c:v>
                </c:pt>
                <c:pt idx="78">
                  <c:v>712</c:v>
                </c:pt>
                <c:pt idx="79">
                  <c:v>812</c:v>
                </c:pt>
                <c:pt idx="80">
                  <c:v>912</c:v>
                </c:pt>
                <c:pt idx="81">
                  <c:v>1012</c:v>
                </c:pt>
                <c:pt idx="82">
                  <c:v>1112</c:v>
                </c:pt>
                <c:pt idx="83">
                  <c:v>1212</c:v>
                </c:pt>
                <c:pt idx="84">
                  <c:v>113</c:v>
                </c:pt>
                <c:pt idx="85">
                  <c:v>213</c:v>
                </c:pt>
                <c:pt idx="86">
                  <c:v>313</c:v>
                </c:pt>
                <c:pt idx="87">
                  <c:v>413</c:v>
                </c:pt>
                <c:pt idx="88">
                  <c:v>513</c:v>
                </c:pt>
                <c:pt idx="89">
                  <c:v>613</c:v>
                </c:pt>
                <c:pt idx="90">
                  <c:v>713</c:v>
                </c:pt>
                <c:pt idx="91">
                  <c:v>813</c:v>
                </c:pt>
                <c:pt idx="92">
                  <c:v>913</c:v>
                </c:pt>
                <c:pt idx="93">
                  <c:v>1013</c:v>
                </c:pt>
                <c:pt idx="94">
                  <c:v>1113</c:v>
                </c:pt>
                <c:pt idx="95">
                  <c:v>1213</c:v>
                </c:pt>
                <c:pt idx="96">
                  <c:v>114</c:v>
                </c:pt>
                <c:pt idx="97">
                  <c:v>214</c:v>
                </c:pt>
                <c:pt idx="98">
                  <c:v>314</c:v>
                </c:pt>
                <c:pt idx="99">
                  <c:v>414</c:v>
                </c:pt>
                <c:pt idx="100">
                  <c:v>514</c:v>
                </c:pt>
                <c:pt idx="101">
                  <c:v>614</c:v>
                </c:pt>
                <c:pt idx="102">
                  <c:v>714</c:v>
                </c:pt>
                <c:pt idx="103">
                  <c:v>814</c:v>
                </c:pt>
                <c:pt idx="104">
                  <c:v>914</c:v>
                </c:pt>
                <c:pt idx="105">
                  <c:v>1014</c:v>
                </c:pt>
                <c:pt idx="106">
                  <c:v>1114</c:v>
                </c:pt>
                <c:pt idx="107">
                  <c:v>1214</c:v>
                </c:pt>
                <c:pt idx="108">
                  <c:v>115</c:v>
                </c:pt>
                <c:pt idx="109">
                  <c:v>215</c:v>
                </c:pt>
                <c:pt idx="110">
                  <c:v>315</c:v>
                </c:pt>
                <c:pt idx="111">
                  <c:v>415</c:v>
                </c:pt>
                <c:pt idx="112">
                  <c:v>515</c:v>
                </c:pt>
                <c:pt idx="113">
                  <c:v>615</c:v>
                </c:pt>
                <c:pt idx="114">
                  <c:v>715</c:v>
                </c:pt>
                <c:pt idx="115">
                  <c:v>815</c:v>
                </c:pt>
                <c:pt idx="116">
                  <c:v>915</c:v>
                </c:pt>
                <c:pt idx="117">
                  <c:v>1015</c:v>
                </c:pt>
                <c:pt idx="118">
                  <c:v>1115</c:v>
                </c:pt>
                <c:pt idx="119">
                  <c:v>1215</c:v>
                </c:pt>
                <c:pt idx="120">
                  <c:v>116</c:v>
                </c:pt>
                <c:pt idx="121">
                  <c:v>216</c:v>
                </c:pt>
                <c:pt idx="122">
                  <c:v>316</c:v>
                </c:pt>
                <c:pt idx="123">
                  <c:v>416</c:v>
                </c:pt>
                <c:pt idx="124">
                  <c:v>516</c:v>
                </c:pt>
                <c:pt idx="125">
                  <c:v>616</c:v>
                </c:pt>
                <c:pt idx="126">
                  <c:v>716</c:v>
                </c:pt>
                <c:pt idx="127">
                  <c:v>816</c:v>
                </c:pt>
                <c:pt idx="128">
                  <c:v>916</c:v>
                </c:pt>
                <c:pt idx="129">
                  <c:v>1016</c:v>
                </c:pt>
                <c:pt idx="130">
                  <c:v>1116</c:v>
                </c:pt>
                <c:pt idx="131">
                  <c:v>1216</c:v>
                </c:pt>
                <c:pt idx="132">
                  <c:v>117</c:v>
                </c:pt>
                <c:pt idx="133">
                  <c:v>217</c:v>
                </c:pt>
                <c:pt idx="134">
                  <c:v>317</c:v>
                </c:pt>
                <c:pt idx="135">
                  <c:v>417</c:v>
                </c:pt>
                <c:pt idx="136">
                  <c:v>517</c:v>
                </c:pt>
                <c:pt idx="137">
                  <c:v>617</c:v>
                </c:pt>
                <c:pt idx="138">
                  <c:v>717</c:v>
                </c:pt>
                <c:pt idx="139">
                  <c:v>817</c:v>
                </c:pt>
                <c:pt idx="140">
                  <c:v>917</c:v>
                </c:pt>
                <c:pt idx="141">
                  <c:v>1017</c:v>
                </c:pt>
                <c:pt idx="142">
                  <c:v>1117</c:v>
                </c:pt>
                <c:pt idx="143">
                  <c:v>1217</c:v>
                </c:pt>
                <c:pt idx="144">
                  <c:v>118</c:v>
                </c:pt>
                <c:pt idx="145">
                  <c:v>218</c:v>
                </c:pt>
                <c:pt idx="146">
                  <c:v>318</c:v>
                </c:pt>
                <c:pt idx="147">
                  <c:v>418</c:v>
                </c:pt>
                <c:pt idx="148">
                  <c:v>518</c:v>
                </c:pt>
                <c:pt idx="149">
                  <c:v>618</c:v>
                </c:pt>
                <c:pt idx="150">
                  <c:v>718</c:v>
                </c:pt>
                <c:pt idx="151">
                  <c:v>818</c:v>
                </c:pt>
                <c:pt idx="152">
                  <c:v>918</c:v>
                </c:pt>
                <c:pt idx="153">
                  <c:v>1018</c:v>
                </c:pt>
                <c:pt idx="154">
                  <c:v>1118</c:v>
                </c:pt>
                <c:pt idx="155">
                  <c:v>1218</c:v>
                </c:pt>
                <c:pt idx="156">
                  <c:v>119</c:v>
                </c:pt>
                <c:pt idx="157">
                  <c:v>219</c:v>
                </c:pt>
                <c:pt idx="158">
                  <c:v>319</c:v>
                </c:pt>
                <c:pt idx="159">
                  <c:v>419</c:v>
                </c:pt>
                <c:pt idx="160">
                  <c:v>519</c:v>
                </c:pt>
                <c:pt idx="161">
                  <c:v>619</c:v>
                </c:pt>
                <c:pt idx="162">
                  <c:v>719</c:v>
                </c:pt>
                <c:pt idx="163">
                  <c:v>819</c:v>
                </c:pt>
                <c:pt idx="164">
                  <c:v>919</c:v>
                </c:pt>
                <c:pt idx="165">
                  <c:v>1019</c:v>
                </c:pt>
                <c:pt idx="166">
                  <c:v>1119</c:v>
                </c:pt>
                <c:pt idx="167">
                  <c:v>1219</c:v>
                </c:pt>
                <c:pt idx="168">
                  <c:v>120</c:v>
                </c:pt>
                <c:pt idx="169">
                  <c:v>220</c:v>
                </c:pt>
                <c:pt idx="170">
                  <c:v>320</c:v>
                </c:pt>
                <c:pt idx="171">
                  <c:v>420</c:v>
                </c:pt>
                <c:pt idx="172">
                  <c:v>520</c:v>
                </c:pt>
              </c:numCache>
            </c:numRef>
          </c:cat>
          <c:val>
            <c:numRef>
              <c:f>Datamlekograf!$C$2:$C$174</c:f>
              <c:numCache>
                <c:formatCode>General</c:formatCode>
                <c:ptCount val="173"/>
                <c:pt idx="0">
                  <c:v>8.1590000000000007</c:v>
                </c:pt>
                <c:pt idx="1">
                  <c:v>8.1120000000000001</c:v>
                </c:pt>
                <c:pt idx="2">
                  <c:v>8.0579999999999998</c:v>
                </c:pt>
                <c:pt idx="3">
                  <c:v>8.0329999999999995</c:v>
                </c:pt>
                <c:pt idx="4">
                  <c:v>7.9409999999999998</c:v>
                </c:pt>
                <c:pt idx="5">
                  <c:v>7.8570000000000002</c:v>
                </c:pt>
                <c:pt idx="6">
                  <c:v>7.774</c:v>
                </c:pt>
                <c:pt idx="7">
                  <c:v>7.6260000000000003</c:v>
                </c:pt>
                <c:pt idx="8">
                  <c:v>7.617</c:v>
                </c:pt>
                <c:pt idx="9">
                  <c:v>7.6689999999999996</c:v>
                </c:pt>
                <c:pt idx="10">
                  <c:v>7.734</c:v>
                </c:pt>
                <c:pt idx="11">
                  <c:v>7.7889999999999997</c:v>
                </c:pt>
                <c:pt idx="12">
                  <c:v>7.8090000000000002</c:v>
                </c:pt>
                <c:pt idx="13">
                  <c:v>7.8070000000000004</c:v>
                </c:pt>
                <c:pt idx="14">
                  <c:v>7.7990000000000004</c:v>
                </c:pt>
                <c:pt idx="15">
                  <c:v>7.7919999999999998</c:v>
                </c:pt>
                <c:pt idx="16">
                  <c:v>7.8029999999999999</c:v>
                </c:pt>
                <c:pt idx="17">
                  <c:v>7.7759999999999998</c:v>
                </c:pt>
                <c:pt idx="18">
                  <c:v>7.7809999999999997</c:v>
                </c:pt>
                <c:pt idx="19">
                  <c:v>7.9240000000000004</c:v>
                </c:pt>
                <c:pt idx="20">
                  <c:v>8.1430000000000007</c:v>
                </c:pt>
                <c:pt idx="21">
                  <c:v>8.5489999999999995</c:v>
                </c:pt>
                <c:pt idx="22">
                  <c:v>9.4710000000000001</c:v>
                </c:pt>
                <c:pt idx="23">
                  <c:v>9.9779999999999998</c:v>
                </c:pt>
                <c:pt idx="24">
                  <c:v>10.098000000000001</c:v>
                </c:pt>
                <c:pt idx="25">
                  <c:v>10.071999999999999</c:v>
                </c:pt>
                <c:pt idx="26">
                  <c:v>10.021000000000001</c:v>
                </c:pt>
                <c:pt idx="27">
                  <c:v>9.7330000000000005</c:v>
                </c:pt>
                <c:pt idx="28">
                  <c:v>9.1760000000000002</c:v>
                </c:pt>
                <c:pt idx="29">
                  <c:v>8.7309999999999999</c:v>
                </c:pt>
                <c:pt idx="30">
                  <c:v>8.468</c:v>
                </c:pt>
                <c:pt idx="31">
                  <c:v>8.2189999999999994</c:v>
                </c:pt>
                <c:pt idx="32">
                  <c:v>7.9790000000000001</c:v>
                </c:pt>
                <c:pt idx="33">
                  <c:v>7.8150000000000004</c:v>
                </c:pt>
                <c:pt idx="34">
                  <c:v>7.548</c:v>
                </c:pt>
                <c:pt idx="35">
                  <c:v>7.2069999999999999</c:v>
                </c:pt>
                <c:pt idx="36">
                  <c:v>6.8479999999999999</c:v>
                </c:pt>
                <c:pt idx="37">
                  <c:v>6.5170000000000003</c:v>
                </c:pt>
                <c:pt idx="38">
                  <c:v>6.2469999999999999</c:v>
                </c:pt>
                <c:pt idx="39">
                  <c:v>6.1529999999999996</c:v>
                </c:pt>
                <c:pt idx="40">
                  <c:v>6.093</c:v>
                </c:pt>
                <c:pt idx="41">
                  <c:v>6.03</c:v>
                </c:pt>
                <c:pt idx="42">
                  <c:v>5.9939999999999998</c:v>
                </c:pt>
                <c:pt idx="43">
                  <c:v>5.9240000000000004</c:v>
                </c:pt>
                <c:pt idx="44">
                  <c:v>5.9210000000000003</c:v>
                </c:pt>
                <c:pt idx="45">
                  <c:v>6.02</c:v>
                </c:pt>
                <c:pt idx="46">
                  <c:v>6.1840000000000002</c:v>
                </c:pt>
                <c:pt idx="47">
                  <c:v>6.4429999999999996</c:v>
                </c:pt>
                <c:pt idx="48">
                  <c:v>6.7220000000000004</c:v>
                </c:pt>
                <c:pt idx="49">
                  <c:v>6.9240000000000004</c:v>
                </c:pt>
                <c:pt idx="50">
                  <c:v>7.0890000000000004</c:v>
                </c:pt>
                <c:pt idx="51">
                  <c:v>7.1609999999999996</c:v>
                </c:pt>
                <c:pt idx="52">
                  <c:v>7.2389999999999999</c:v>
                </c:pt>
                <c:pt idx="53">
                  <c:v>7.3140000000000001</c:v>
                </c:pt>
                <c:pt idx="54">
                  <c:v>7.3719999999999999</c:v>
                </c:pt>
                <c:pt idx="55">
                  <c:v>7.4029999999999996</c:v>
                </c:pt>
                <c:pt idx="56">
                  <c:v>7.508</c:v>
                </c:pt>
                <c:pt idx="57">
                  <c:v>7.6449999999999996</c:v>
                </c:pt>
                <c:pt idx="58">
                  <c:v>7.8380000000000001</c:v>
                </c:pt>
                <c:pt idx="59">
                  <c:v>7.9749999999999996</c:v>
                </c:pt>
                <c:pt idx="60">
                  <c:v>8.11</c:v>
                </c:pt>
                <c:pt idx="61">
                  <c:v>8.1219999999999999</c:v>
                </c:pt>
                <c:pt idx="62">
                  <c:v>8.1760000000000002</c:v>
                </c:pt>
                <c:pt idx="63">
                  <c:v>8.2379999999999995</c:v>
                </c:pt>
                <c:pt idx="64">
                  <c:v>8.2680000000000007</c:v>
                </c:pt>
                <c:pt idx="65">
                  <c:v>8.2880000000000003</c:v>
                </c:pt>
                <c:pt idx="66">
                  <c:v>8.2759999999999998</c:v>
                </c:pt>
                <c:pt idx="67">
                  <c:v>8.3049999999999997</c:v>
                </c:pt>
                <c:pt idx="68">
                  <c:v>8.3119999999999994</c:v>
                </c:pt>
                <c:pt idx="69">
                  <c:v>8.3390000000000004</c:v>
                </c:pt>
                <c:pt idx="70">
                  <c:v>8.3919999999999995</c:v>
                </c:pt>
                <c:pt idx="71">
                  <c:v>8.4619999999999997</c:v>
                </c:pt>
                <c:pt idx="72">
                  <c:v>8.4649999999999999</c:v>
                </c:pt>
                <c:pt idx="73">
                  <c:v>8.3710000000000004</c:v>
                </c:pt>
                <c:pt idx="74">
                  <c:v>8.3510000000000009</c:v>
                </c:pt>
                <c:pt idx="75">
                  <c:v>8.1940000000000008</c:v>
                </c:pt>
                <c:pt idx="76">
                  <c:v>7.9329999999999998</c:v>
                </c:pt>
                <c:pt idx="77">
                  <c:v>7.6260000000000003</c:v>
                </c:pt>
                <c:pt idx="78">
                  <c:v>7.3879999999999999</c:v>
                </c:pt>
                <c:pt idx="79">
                  <c:v>7.258</c:v>
                </c:pt>
                <c:pt idx="80">
                  <c:v>7.2549999999999999</c:v>
                </c:pt>
                <c:pt idx="81">
                  <c:v>7.351</c:v>
                </c:pt>
                <c:pt idx="82">
                  <c:v>7.5410000000000004</c:v>
                </c:pt>
                <c:pt idx="83">
                  <c:v>7.7309999999999999</c:v>
                </c:pt>
                <c:pt idx="84">
                  <c:v>7.8979999999999997</c:v>
                </c:pt>
                <c:pt idx="85">
                  <c:v>7.9429999999999996</c:v>
                </c:pt>
                <c:pt idx="86">
                  <c:v>8.0559999999999992</c:v>
                </c:pt>
                <c:pt idx="87">
                  <c:v>8.1359999999999992</c:v>
                </c:pt>
                <c:pt idx="88">
                  <c:v>8.2100000000000009</c:v>
                </c:pt>
                <c:pt idx="89">
                  <c:v>8.2490000000000006</c:v>
                </c:pt>
                <c:pt idx="90">
                  <c:v>8.3059999999999992</c:v>
                </c:pt>
                <c:pt idx="91">
                  <c:v>8.3770000000000007</c:v>
                </c:pt>
                <c:pt idx="92">
                  <c:v>8.5</c:v>
                </c:pt>
                <c:pt idx="93">
                  <c:v>8.7189999999999994</c:v>
                </c:pt>
                <c:pt idx="94">
                  <c:v>9.0449999999999999</c:v>
                </c:pt>
                <c:pt idx="95">
                  <c:v>9.3650000000000002</c:v>
                </c:pt>
                <c:pt idx="96">
                  <c:v>9.5670000000000002</c:v>
                </c:pt>
                <c:pt idx="97">
                  <c:v>9.7279999999999998</c:v>
                </c:pt>
                <c:pt idx="98">
                  <c:v>9.7949999999999999</c:v>
                </c:pt>
                <c:pt idx="99">
                  <c:v>9.8079999999999998</c:v>
                </c:pt>
                <c:pt idx="100">
                  <c:v>9.7799999999999994</c:v>
                </c:pt>
                <c:pt idx="101">
                  <c:v>9.6769999999999996</c:v>
                </c:pt>
                <c:pt idx="102">
                  <c:v>9.5500000000000007</c:v>
                </c:pt>
                <c:pt idx="103">
                  <c:v>9.5150000000000006</c:v>
                </c:pt>
                <c:pt idx="104">
                  <c:v>9.3309999999999995</c:v>
                </c:pt>
                <c:pt idx="105">
                  <c:v>9.1560000000000006</c:v>
                </c:pt>
                <c:pt idx="106">
                  <c:v>9.0850000000000009</c:v>
                </c:pt>
                <c:pt idx="107">
                  <c:v>9.0109999999999992</c:v>
                </c:pt>
                <c:pt idx="108">
                  <c:v>8.952</c:v>
                </c:pt>
                <c:pt idx="109">
                  <c:v>8.6140000000000008</c:v>
                </c:pt>
                <c:pt idx="110">
                  <c:v>8.4779999999999998</c:v>
                </c:pt>
                <c:pt idx="111">
                  <c:v>8.3780000000000001</c:v>
                </c:pt>
                <c:pt idx="112">
                  <c:v>8.24</c:v>
                </c:pt>
                <c:pt idx="113">
                  <c:v>7.8179999999999996</c:v>
                </c:pt>
                <c:pt idx="114">
                  <c:v>7.5279999999999996</c:v>
                </c:pt>
                <c:pt idx="115">
                  <c:v>7.3049999999999997</c:v>
                </c:pt>
                <c:pt idx="116">
                  <c:v>7.141</c:v>
                </c:pt>
                <c:pt idx="117">
                  <c:v>7.1420000000000003</c:v>
                </c:pt>
                <c:pt idx="118">
                  <c:v>7.3140000000000001</c:v>
                </c:pt>
                <c:pt idx="119">
                  <c:v>7.4349999999999996</c:v>
                </c:pt>
                <c:pt idx="120">
                  <c:v>7.4969999999999999</c:v>
                </c:pt>
                <c:pt idx="121">
                  <c:v>7.3289999999999997</c:v>
                </c:pt>
                <c:pt idx="122">
                  <c:v>7.07</c:v>
                </c:pt>
                <c:pt idx="123">
                  <c:v>6.8289999999999997</c:v>
                </c:pt>
                <c:pt idx="124">
                  <c:v>6.5880000000000001</c:v>
                </c:pt>
                <c:pt idx="125">
                  <c:v>6.2679999999999998</c:v>
                </c:pt>
                <c:pt idx="126">
                  <c:v>6.1390000000000002</c:v>
                </c:pt>
                <c:pt idx="127">
                  <c:v>6.1189999999999998</c:v>
                </c:pt>
                <c:pt idx="128">
                  <c:v>6.202</c:v>
                </c:pt>
                <c:pt idx="129">
                  <c:v>6.4349999999999996</c:v>
                </c:pt>
                <c:pt idx="130">
                  <c:v>6.7990000000000004</c:v>
                </c:pt>
                <c:pt idx="131">
                  <c:v>7.2279999999999998</c:v>
                </c:pt>
                <c:pt idx="132">
                  <c:v>7.633</c:v>
                </c:pt>
                <c:pt idx="133">
                  <c:v>7.8410000000000002</c:v>
                </c:pt>
                <c:pt idx="134">
                  <c:v>8.0670000000000002</c:v>
                </c:pt>
                <c:pt idx="135">
                  <c:v>8.1969999999999992</c:v>
                </c:pt>
                <c:pt idx="136">
                  <c:v>8.2970000000000006</c:v>
                </c:pt>
                <c:pt idx="137">
                  <c:v>8.3439999999999994</c:v>
                </c:pt>
                <c:pt idx="138">
                  <c:v>8.41</c:v>
                </c:pt>
                <c:pt idx="139">
                  <c:v>8.48</c:v>
                </c:pt>
                <c:pt idx="140">
                  <c:v>8.6349999999999998</c:v>
                </c:pt>
                <c:pt idx="141">
                  <c:v>8.8780000000000001</c:v>
                </c:pt>
                <c:pt idx="142">
                  <c:v>9.1449999999999996</c:v>
                </c:pt>
                <c:pt idx="143">
                  <c:v>9.3119999999999994</c:v>
                </c:pt>
                <c:pt idx="144">
                  <c:v>9.3710000000000004</c:v>
                </c:pt>
                <c:pt idx="145">
                  <c:v>9.0530000000000008</c:v>
                </c:pt>
                <c:pt idx="146">
                  <c:v>8.84</c:v>
                </c:pt>
                <c:pt idx="147">
                  <c:v>8.6010000000000009</c:v>
                </c:pt>
                <c:pt idx="148">
                  <c:v>8.3800000000000008</c:v>
                </c:pt>
                <c:pt idx="149">
                  <c:v>8.2270000000000003</c:v>
                </c:pt>
                <c:pt idx="150">
                  <c:v>8.1920000000000002</c:v>
                </c:pt>
                <c:pt idx="151">
                  <c:v>8.2279999999999998</c:v>
                </c:pt>
                <c:pt idx="152">
                  <c:v>8.2750000000000004</c:v>
                </c:pt>
                <c:pt idx="153">
                  <c:v>8.4559999999999995</c:v>
                </c:pt>
                <c:pt idx="154">
                  <c:v>8.7729999999999997</c:v>
                </c:pt>
                <c:pt idx="155">
                  <c:v>9.0229999999999997</c:v>
                </c:pt>
                <c:pt idx="156">
                  <c:v>9.1539999999999999</c:v>
                </c:pt>
                <c:pt idx="157">
                  <c:v>9.1069999999999993</c:v>
                </c:pt>
                <c:pt idx="158">
                  <c:v>9.0540000000000003</c:v>
                </c:pt>
                <c:pt idx="159">
                  <c:v>8.99</c:v>
                </c:pt>
                <c:pt idx="160">
                  <c:v>8.9280000000000008</c:v>
                </c:pt>
                <c:pt idx="161">
                  <c:v>8.8559999999999999</c:v>
                </c:pt>
                <c:pt idx="162">
                  <c:v>8.6920000000000002</c:v>
                </c:pt>
                <c:pt idx="163">
                  <c:v>8.6029999999999998</c:v>
                </c:pt>
                <c:pt idx="164">
                  <c:v>8.5579999999999998</c:v>
                </c:pt>
                <c:pt idx="165">
                  <c:v>8.6240000000000006</c:v>
                </c:pt>
                <c:pt idx="166">
                  <c:v>8.766</c:v>
                </c:pt>
                <c:pt idx="167">
                  <c:v>8.8940000000000001</c:v>
                </c:pt>
                <c:pt idx="168">
                  <c:v>8.9499999999999993</c:v>
                </c:pt>
                <c:pt idx="169">
                  <c:v>8.8979999999999997</c:v>
                </c:pt>
                <c:pt idx="170">
                  <c:v>8.83</c:v>
                </c:pt>
                <c:pt idx="171">
                  <c:v>8.7739999999999991</c:v>
                </c:pt>
                <c:pt idx="172">
                  <c:v>8.6440000000000001</c:v>
                </c:pt>
              </c:numCache>
            </c:numRef>
          </c:val>
          <c:smooth val="0"/>
          <c:extLst>
            <c:ext xmlns:c16="http://schemas.microsoft.com/office/drawing/2014/chart" uri="{C3380CC4-5D6E-409C-BE32-E72D297353CC}">
              <c16:uniqueId val="{00000001-BE3A-354B-849D-D8F5280C8F14}"/>
            </c:ext>
          </c:extLst>
        </c:ser>
        <c:ser>
          <c:idx val="1"/>
          <c:order val="1"/>
          <c:tx>
            <c:strRef>
              <c:f>Datamlekograf!$D$1</c:f>
              <c:strCache>
                <c:ptCount val="1"/>
                <c:pt idx="0">
                  <c:v>Mléko CPV</c:v>
                </c:pt>
              </c:strCache>
            </c:strRef>
          </c:tx>
          <c:spPr>
            <a:ln>
              <a:solidFill>
                <a:schemeClr val="accent2">
                  <a:lumMod val="50000"/>
                </a:schemeClr>
              </a:solidFill>
              <a:prstDash val="solid"/>
            </a:ln>
          </c:spPr>
          <c:marker>
            <c:symbol val="none"/>
          </c:marker>
          <c:trendline>
            <c:trendlineType val="linear"/>
            <c:dispRSqr val="1"/>
            <c:dispEq val="0"/>
            <c:trendlineLbl>
              <c:layout>
                <c:manualLayout>
                  <c:x val="4.9365653773647804E-4"/>
                  <c:y val="-2.553919086239077E-2"/>
                </c:manualLayout>
              </c:layout>
              <c:numFmt formatCode="General" sourceLinked="0"/>
            </c:trendlineLbl>
          </c:trendline>
          <c:cat>
            <c:numRef>
              <c:f>Datamlekograf!$A$2:$A$174</c:f>
              <c:numCache>
                <c:formatCode>General</c:formatCode>
                <c:ptCount val="173"/>
                <c:pt idx="0">
                  <c:v>106</c:v>
                </c:pt>
                <c:pt idx="1">
                  <c:v>206</c:v>
                </c:pt>
                <c:pt idx="2">
                  <c:v>306</c:v>
                </c:pt>
                <c:pt idx="3">
                  <c:v>406</c:v>
                </c:pt>
                <c:pt idx="4">
                  <c:v>506</c:v>
                </c:pt>
                <c:pt idx="5">
                  <c:v>606</c:v>
                </c:pt>
                <c:pt idx="6">
                  <c:v>706</c:v>
                </c:pt>
                <c:pt idx="7">
                  <c:v>806</c:v>
                </c:pt>
                <c:pt idx="8">
                  <c:v>906</c:v>
                </c:pt>
                <c:pt idx="9">
                  <c:v>1006</c:v>
                </c:pt>
                <c:pt idx="10">
                  <c:v>1106</c:v>
                </c:pt>
                <c:pt idx="11">
                  <c:v>1206</c:v>
                </c:pt>
                <c:pt idx="12">
                  <c:v>107</c:v>
                </c:pt>
                <c:pt idx="13">
                  <c:v>207</c:v>
                </c:pt>
                <c:pt idx="14">
                  <c:v>307</c:v>
                </c:pt>
                <c:pt idx="15">
                  <c:v>407</c:v>
                </c:pt>
                <c:pt idx="16">
                  <c:v>507</c:v>
                </c:pt>
                <c:pt idx="17">
                  <c:v>607</c:v>
                </c:pt>
                <c:pt idx="18">
                  <c:v>707</c:v>
                </c:pt>
                <c:pt idx="19">
                  <c:v>807</c:v>
                </c:pt>
                <c:pt idx="20">
                  <c:v>907</c:v>
                </c:pt>
                <c:pt idx="21">
                  <c:v>1007</c:v>
                </c:pt>
                <c:pt idx="22">
                  <c:v>1107</c:v>
                </c:pt>
                <c:pt idx="23">
                  <c:v>1207</c:v>
                </c:pt>
                <c:pt idx="24">
                  <c:v>108</c:v>
                </c:pt>
                <c:pt idx="25">
                  <c:v>208</c:v>
                </c:pt>
                <c:pt idx="26">
                  <c:v>308</c:v>
                </c:pt>
                <c:pt idx="27">
                  <c:v>408</c:v>
                </c:pt>
                <c:pt idx="28">
                  <c:v>508</c:v>
                </c:pt>
                <c:pt idx="29">
                  <c:v>608</c:v>
                </c:pt>
                <c:pt idx="30">
                  <c:v>708</c:v>
                </c:pt>
                <c:pt idx="31">
                  <c:v>808</c:v>
                </c:pt>
                <c:pt idx="32">
                  <c:v>908</c:v>
                </c:pt>
                <c:pt idx="33">
                  <c:v>1008</c:v>
                </c:pt>
                <c:pt idx="34">
                  <c:v>1108</c:v>
                </c:pt>
                <c:pt idx="35">
                  <c:v>1208</c:v>
                </c:pt>
                <c:pt idx="36">
                  <c:v>109</c:v>
                </c:pt>
                <c:pt idx="37">
                  <c:v>209</c:v>
                </c:pt>
                <c:pt idx="38">
                  <c:v>309</c:v>
                </c:pt>
                <c:pt idx="39">
                  <c:v>409</c:v>
                </c:pt>
                <c:pt idx="40">
                  <c:v>509</c:v>
                </c:pt>
                <c:pt idx="41">
                  <c:v>609</c:v>
                </c:pt>
                <c:pt idx="42">
                  <c:v>709</c:v>
                </c:pt>
                <c:pt idx="43">
                  <c:v>809</c:v>
                </c:pt>
                <c:pt idx="44">
                  <c:v>909</c:v>
                </c:pt>
                <c:pt idx="45">
                  <c:v>1009</c:v>
                </c:pt>
                <c:pt idx="46">
                  <c:v>1109</c:v>
                </c:pt>
                <c:pt idx="47">
                  <c:v>1209</c:v>
                </c:pt>
                <c:pt idx="48">
                  <c:v>110</c:v>
                </c:pt>
                <c:pt idx="49">
                  <c:v>210</c:v>
                </c:pt>
                <c:pt idx="50">
                  <c:v>310</c:v>
                </c:pt>
                <c:pt idx="51">
                  <c:v>410</c:v>
                </c:pt>
                <c:pt idx="52">
                  <c:v>510</c:v>
                </c:pt>
                <c:pt idx="53">
                  <c:v>610</c:v>
                </c:pt>
                <c:pt idx="54">
                  <c:v>710</c:v>
                </c:pt>
                <c:pt idx="55">
                  <c:v>810</c:v>
                </c:pt>
                <c:pt idx="56">
                  <c:v>910</c:v>
                </c:pt>
                <c:pt idx="57">
                  <c:v>1010</c:v>
                </c:pt>
                <c:pt idx="58">
                  <c:v>1110</c:v>
                </c:pt>
                <c:pt idx="59">
                  <c:v>1210</c:v>
                </c:pt>
                <c:pt idx="60">
                  <c:v>111</c:v>
                </c:pt>
                <c:pt idx="61">
                  <c:v>211</c:v>
                </c:pt>
                <c:pt idx="62">
                  <c:v>311</c:v>
                </c:pt>
                <c:pt idx="63">
                  <c:v>411</c:v>
                </c:pt>
                <c:pt idx="64">
                  <c:v>511</c:v>
                </c:pt>
                <c:pt idx="65">
                  <c:v>611</c:v>
                </c:pt>
                <c:pt idx="66">
                  <c:v>711</c:v>
                </c:pt>
                <c:pt idx="67">
                  <c:v>811</c:v>
                </c:pt>
                <c:pt idx="68">
                  <c:v>911</c:v>
                </c:pt>
                <c:pt idx="69">
                  <c:v>1011</c:v>
                </c:pt>
                <c:pt idx="70">
                  <c:v>1111</c:v>
                </c:pt>
                <c:pt idx="71">
                  <c:v>1211</c:v>
                </c:pt>
                <c:pt idx="72">
                  <c:v>112</c:v>
                </c:pt>
                <c:pt idx="73">
                  <c:v>212</c:v>
                </c:pt>
                <c:pt idx="74">
                  <c:v>312</c:v>
                </c:pt>
                <c:pt idx="75">
                  <c:v>412</c:v>
                </c:pt>
                <c:pt idx="76">
                  <c:v>512</c:v>
                </c:pt>
                <c:pt idx="77">
                  <c:v>612</c:v>
                </c:pt>
                <c:pt idx="78">
                  <c:v>712</c:v>
                </c:pt>
                <c:pt idx="79">
                  <c:v>812</c:v>
                </c:pt>
                <c:pt idx="80">
                  <c:v>912</c:v>
                </c:pt>
                <c:pt idx="81">
                  <c:v>1012</c:v>
                </c:pt>
                <c:pt idx="82">
                  <c:v>1112</c:v>
                </c:pt>
                <c:pt idx="83">
                  <c:v>1212</c:v>
                </c:pt>
                <c:pt idx="84">
                  <c:v>113</c:v>
                </c:pt>
                <c:pt idx="85">
                  <c:v>213</c:v>
                </c:pt>
                <c:pt idx="86">
                  <c:v>313</c:v>
                </c:pt>
                <c:pt idx="87">
                  <c:v>413</c:v>
                </c:pt>
                <c:pt idx="88">
                  <c:v>513</c:v>
                </c:pt>
                <c:pt idx="89">
                  <c:v>613</c:v>
                </c:pt>
                <c:pt idx="90">
                  <c:v>713</c:v>
                </c:pt>
                <c:pt idx="91">
                  <c:v>813</c:v>
                </c:pt>
                <c:pt idx="92">
                  <c:v>913</c:v>
                </c:pt>
                <c:pt idx="93">
                  <c:v>1013</c:v>
                </c:pt>
                <c:pt idx="94">
                  <c:v>1113</c:v>
                </c:pt>
                <c:pt idx="95">
                  <c:v>1213</c:v>
                </c:pt>
                <c:pt idx="96">
                  <c:v>114</c:v>
                </c:pt>
                <c:pt idx="97">
                  <c:v>214</c:v>
                </c:pt>
                <c:pt idx="98">
                  <c:v>314</c:v>
                </c:pt>
                <c:pt idx="99">
                  <c:v>414</c:v>
                </c:pt>
                <c:pt idx="100">
                  <c:v>514</c:v>
                </c:pt>
                <c:pt idx="101">
                  <c:v>614</c:v>
                </c:pt>
                <c:pt idx="102">
                  <c:v>714</c:v>
                </c:pt>
                <c:pt idx="103">
                  <c:v>814</c:v>
                </c:pt>
                <c:pt idx="104">
                  <c:v>914</c:v>
                </c:pt>
                <c:pt idx="105">
                  <c:v>1014</c:v>
                </c:pt>
                <c:pt idx="106">
                  <c:v>1114</c:v>
                </c:pt>
                <c:pt idx="107">
                  <c:v>1214</c:v>
                </c:pt>
                <c:pt idx="108">
                  <c:v>115</c:v>
                </c:pt>
                <c:pt idx="109">
                  <c:v>215</c:v>
                </c:pt>
                <c:pt idx="110">
                  <c:v>315</c:v>
                </c:pt>
                <c:pt idx="111">
                  <c:v>415</c:v>
                </c:pt>
                <c:pt idx="112">
                  <c:v>515</c:v>
                </c:pt>
                <c:pt idx="113">
                  <c:v>615</c:v>
                </c:pt>
                <c:pt idx="114">
                  <c:v>715</c:v>
                </c:pt>
                <c:pt idx="115">
                  <c:v>815</c:v>
                </c:pt>
                <c:pt idx="116">
                  <c:v>915</c:v>
                </c:pt>
                <c:pt idx="117">
                  <c:v>1015</c:v>
                </c:pt>
                <c:pt idx="118">
                  <c:v>1115</c:v>
                </c:pt>
                <c:pt idx="119">
                  <c:v>1215</c:v>
                </c:pt>
                <c:pt idx="120">
                  <c:v>116</c:v>
                </c:pt>
                <c:pt idx="121">
                  <c:v>216</c:v>
                </c:pt>
                <c:pt idx="122">
                  <c:v>316</c:v>
                </c:pt>
                <c:pt idx="123">
                  <c:v>416</c:v>
                </c:pt>
                <c:pt idx="124">
                  <c:v>516</c:v>
                </c:pt>
                <c:pt idx="125">
                  <c:v>616</c:v>
                </c:pt>
                <c:pt idx="126">
                  <c:v>716</c:v>
                </c:pt>
                <c:pt idx="127">
                  <c:v>816</c:v>
                </c:pt>
                <c:pt idx="128">
                  <c:v>916</c:v>
                </c:pt>
                <c:pt idx="129">
                  <c:v>1016</c:v>
                </c:pt>
                <c:pt idx="130">
                  <c:v>1116</c:v>
                </c:pt>
                <c:pt idx="131">
                  <c:v>1216</c:v>
                </c:pt>
                <c:pt idx="132">
                  <c:v>117</c:v>
                </c:pt>
                <c:pt idx="133">
                  <c:v>217</c:v>
                </c:pt>
                <c:pt idx="134">
                  <c:v>317</c:v>
                </c:pt>
                <c:pt idx="135">
                  <c:v>417</c:v>
                </c:pt>
                <c:pt idx="136">
                  <c:v>517</c:v>
                </c:pt>
                <c:pt idx="137">
                  <c:v>617</c:v>
                </c:pt>
                <c:pt idx="138">
                  <c:v>717</c:v>
                </c:pt>
                <c:pt idx="139">
                  <c:v>817</c:v>
                </c:pt>
                <c:pt idx="140">
                  <c:v>917</c:v>
                </c:pt>
                <c:pt idx="141">
                  <c:v>1017</c:v>
                </c:pt>
                <c:pt idx="142">
                  <c:v>1117</c:v>
                </c:pt>
                <c:pt idx="143">
                  <c:v>1217</c:v>
                </c:pt>
                <c:pt idx="144">
                  <c:v>118</c:v>
                </c:pt>
                <c:pt idx="145">
                  <c:v>218</c:v>
                </c:pt>
                <c:pt idx="146">
                  <c:v>318</c:v>
                </c:pt>
                <c:pt idx="147">
                  <c:v>418</c:v>
                </c:pt>
                <c:pt idx="148">
                  <c:v>518</c:v>
                </c:pt>
                <c:pt idx="149">
                  <c:v>618</c:v>
                </c:pt>
                <c:pt idx="150">
                  <c:v>718</c:v>
                </c:pt>
                <c:pt idx="151">
                  <c:v>818</c:v>
                </c:pt>
                <c:pt idx="152">
                  <c:v>918</c:v>
                </c:pt>
                <c:pt idx="153">
                  <c:v>1018</c:v>
                </c:pt>
                <c:pt idx="154">
                  <c:v>1118</c:v>
                </c:pt>
                <c:pt idx="155">
                  <c:v>1218</c:v>
                </c:pt>
                <c:pt idx="156">
                  <c:v>119</c:v>
                </c:pt>
                <c:pt idx="157">
                  <c:v>219</c:v>
                </c:pt>
                <c:pt idx="158">
                  <c:v>319</c:v>
                </c:pt>
                <c:pt idx="159">
                  <c:v>419</c:v>
                </c:pt>
                <c:pt idx="160">
                  <c:v>519</c:v>
                </c:pt>
                <c:pt idx="161">
                  <c:v>619</c:v>
                </c:pt>
                <c:pt idx="162">
                  <c:v>719</c:v>
                </c:pt>
                <c:pt idx="163">
                  <c:v>819</c:v>
                </c:pt>
                <c:pt idx="164">
                  <c:v>919</c:v>
                </c:pt>
                <c:pt idx="165">
                  <c:v>1019</c:v>
                </c:pt>
                <c:pt idx="166">
                  <c:v>1119</c:v>
                </c:pt>
                <c:pt idx="167">
                  <c:v>1219</c:v>
                </c:pt>
                <c:pt idx="168">
                  <c:v>120</c:v>
                </c:pt>
                <c:pt idx="169">
                  <c:v>220</c:v>
                </c:pt>
                <c:pt idx="170">
                  <c:v>320</c:v>
                </c:pt>
                <c:pt idx="171">
                  <c:v>420</c:v>
                </c:pt>
                <c:pt idx="172">
                  <c:v>520</c:v>
                </c:pt>
              </c:numCache>
            </c:numRef>
          </c:cat>
          <c:val>
            <c:numRef>
              <c:f>Datamlekograf!$D$2:$D$174</c:f>
              <c:numCache>
                <c:formatCode>General</c:formatCode>
                <c:ptCount val="173"/>
                <c:pt idx="0">
                  <c:v>11.68</c:v>
                </c:pt>
                <c:pt idx="1">
                  <c:v>11.69</c:v>
                </c:pt>
                <c:pt idx="2">
                  <c:v>11.66</c:v>
                </c:pt>
                <c:pt idx="3">
                  <c:v>11.68</c:v>
                </c:pt>
                <c:pt idx="4">
                  <c:v>11.64</c:v>
                </c:pt>
                <c:pt idx="5">
                  <c:v>11.68</c:v>
                </c:pt>
                <c:pt idx="6">
                  <c:v>11.69</c:v>
                </c:pt>
                <c:pt idx="7">
                  <c:v>11.63</c:v>
                </c:pt>
                <c:pt idx="8">
                  <c:v>11.62</c:v>
                </c:pt>
                <c:pt idx="9">
                  <c:v>11.64</c:v>
                </c:pt>
                <c:pt idx="10">
                  <c:v>11.58</c:v>
                </c:pt>
                <c:pt idx="11">
                  <c:v>11.67</c:v>
                </c:pt>
                <c:pt idx="12">
                  <c:v>11.66</c:v>
                </c:pt>
                <c:pt idx="13">
                  <c:v>11.91</c:v>
                </c:pt>
                <c:pt idx="14">
                  <c:v>11.9</c:v>
                </c:pt>
                <c:pt idx="15">
                  <c:v>11.95</c:v>
                </c:pt>
                <c:pt idx="16">
                  <c:v>11.85</c:v>
                </c:pt>
                <c:pt idx="17">
                  <c:v>11.93</c:v>
                </c:pt>
                <c:pt idx="18">
                  <c:v>12.11</c:v>
                </c:pt>
                <c:pt idx="19">
                  <c:v>12.17</c:v>
                </c:pt>
                <c:pt idx="20">
                  <c:v>12.24</c:v>
                </c:pt>
                <c:pt idx="21">
                  <c:v>12.71</c:v>
                </c:pt>
                <c:pt idx="22">
                  <c:v>13.4</c:v>
                </c:pt>
                <c:pt idx="23">
                  <c:v>13.45</c:v>
                </c:pt>
                <c:pt idx="24">
                  <c:v>14.66</c:v>
                </c:pt>
                <c:pt idx="25">
                  <c:v>14.62</c:v>
                </c:pt>
                <c:pt idx="26">
                  <c:v>14.65</c:v>
                </c:pt>
                <c:pt idx="27">
                  <c:v>14.59</c:v>
                </c:pt>
                <c:pt idx="28">
                  <c:v>14.38</c:v>
                </c:pt>
                <c:pt idx="29">
                  <c:v>14.4</c:v>
                </c:pt>
                <c:pt idx="30">
                  <c:v>14.39</c:v>
                </c:pt>
                <c:pt idx="31">
                  <c:v>14.3</c:v>
                </c:pt>
                <c:pt idx="32">
                  <c:v>14.21</c:v>
                </c:pt>
                <c:pt idx="33">
                  <c:v>14.36</c:v>
                </c:pt>
                <c:pt idx="34">
                  <c:v>14.37</c:v>
                </c:pt>
                <c:pt idx="35">
                  <c:v>14.28</c:v>
                </c:pt>
                <c:pt idx="36">
                  <c:v>14.15</c:v>
                </c:pt>
                <c:pt idx="37">
                  <c:v>14.02</c:v>
                </c:pt>
                <c:pt idx="38">
                  <c:v>13.4</c:v>
                </c:pt>
                <c:pt idx="39">
                  <c:v>13.51</c:v>
                </c:pt>
                <c:pt idx="40">
                  <c:v>13.27</c:v>
                </c:pt>
                <c:pt idx="41">
                  <c:v>12.99</c:v>
                </c:pt>
                <c:pt idx="42">
                  <c:v>12.58</c:v>
                </c:pt>
                <c:pt idx="43">
                  <c:v>12.53</c:v>
                </c:pt>
                <c:pt idx="44">
                  <c:v>12.28</c:v>
                </c:pt>
                <c:pt idx="45">
                  <c:v>12.06</c:v>
                </c:pt>
                <c:pt idx="46">
                  <c:v>12.26</c:v>
                </c:pt>
                <c:pt idx="47">
                  <c:v>12.18</c:v>
                </c:pt>
                <c:pt idx="48">
                  <c:v>12.44</c:v>
                </c:pt>
                <c:pt idx="49">
                  <c:v>12.35</c:v>
                </c:pt>
                <c:pt idx="50">
                  <c:v>12.42</c:v>
                </c:pt>
                <c:pt idx="51">
                  <c:v>12.22</c:v>
                </c:pt>
                <c:pt idx="52">
                  <c:v>12.16</c:v>
                </c:pt>
                <c:pt idx="53">
                  <c:v>12.17</c:v>
                </c:pt>
                <c:pt idx="54">
                  <c:v>12.19</c:v>
                </c:pt>
                <c:pt idx="55">
                  <c:v>12.17</c:v>
                </c:pt>
                <c:pt idx="56">
                  <c:v>12.21</c:v>
                </c:pt>
                <c:pt idx="57">
                  <c:v>12.43</c:v>
                </c:pt>
                <c:pt idx="58">
                  <c:v>12.56</c:v>
                </c:pt>
                <c:pt idx="59">
                  <c:v>12.42</c:v>
                </c:pt>
                <c:pt idx="60">
                  <c:v>12.47</c:v>
                </c:pt>
                <c:pt idx="61">
                  <c:v>12.49</c:v>
                </c:pt>
                <c:pt idx="62">
                  <c:v>12.58</c:v>
                </c:pt>
                <c:pt idx="63">
                  <c:v>12.58</c:v>
                </c:pt>
                <c:pt idx="64">
                  <c:v>12.71</c:v>
                </c:pt>
                <c:pt idx="65">
                  <c:v>12.84</c:v>
                </c:pt>
                <c:pt idx="66">
                  <c:v>12.72</c:v>
                </c:pt>
                <c:pt idx="67">
                  <c:v>12.81</c:v>
                </c:pt>
                <c:pt idx="68">
                  <c:v>12.77</c:v>
                </c:pt>
                <c:pt idx="69">
                  <c:v>12.94</c:v>
                </c:pt>
                <c:pt idx="70">
                  <c:v>12.75</c:v>
                </c:pt>
                <c:pt idx="71">
                  <c:v>12.83</c:v>
                </c:pt>
                <c:pt idx="72">
                  <c:v>13.25</c:v>
                </c:pt>
                <c:pt idx="73">
                  <c:v>12.99</c:v>
                </c:pt>
                <c:pt idx="74">
                  <c:v>13.22</c:v>
                </c:pt>
                <c:pt idx="75">
                  <c:v>13.2</c:v>
                </c:pt>
                <c:pt idx="76">
                  <c:v>12.96</c:v>
                </c:pt>
                <c:pt idx="77">
                  <c:v>13.02</c:v>
                </c:pt>
                <c:pt idx="78">
                  <c:v>13</c:v>
                </c:pt>
                <c:pt idx="79">
                  <c:v>12.69</c:v>
                </c:pt>
                <c:pt idx="80">
                  <c:v>12.87</c:v>
                </c:pt>
                <c:pt idx="81">
                  <c:v>12.69</c:v>
                </c:pt>
                <c:pt idx="82">
                  <c:v>12.89</c:v>
                </c:pt>
                <c:pt idx="83">
                  <c:v>12.5</c:v>
                </c:pt>
                <c:pt idx="84">
                  <c:v>12.55</c:v>
                </c:pt>
                <c:pt idx="85">
                  <c:v>12.39</c:v>
                </c:pt>
                <c:pt idx="86">
                  <c:v>12.42</c:v>
                </c:pt>
                <c:pt idx="87">
                  <c:v>12.4</c:v>
                </c:pt>
                <c:pt idx="88">
                  <c:v>12.5</c:v>
                </c:pt>
                <c:pt idx="89">
                  <c:v>12.75</c:v>
                </c:pt>
                <c:pt idx="90">
                  <c:v>12.78</c:v>
                </c:pt>
                <c:pt idx="91">
                  <c:v>12.96</c:v>
                </c:pt>
                <c:pt idx="92">
                  <c:v>13.4</c:v>
                </c:pt>
                <c:pt idx="93">
                  <c:v>13.51</c:v>
                </c:pt>
                <c:pt idx="94">
                  <c:v>13.56</c:v>
                </c:pt>
                <c:pt idx="95">
                  <c:v>13.58</c:v>
                </c:pt>
                <c:pt idx="96">
                  <c:v>13.67</c:v>
                </c:pt>
                <c:pt idx="97">
                  <c:v>13.81</c:v>
                </c:pt>
                <c:pt idx="98">
                  <c:v>13.88</c:v>
                </c:pt>
                <c:pt idx="99">
                  <c:v>13.83</c:v>
                </c:pt>
                <c:pt idx="100">
                  <c:v>13.82</c:v>
                </c:pt>
                <c:pt idx="101">
                  <c:v>13.93</c:v>
                </c:pt>
                <c:pt idx="102">
                  <c:v>13.96</c:v>
                </c:pt>
                <c:pt idx="103">
                  <c:v>14.1</c:v>
                </c:pt>
                <c:pt idx="104">
                  <c:v>13.79</c:v>
                </c:pt>
                <c:pt idx="105">
                  <c:v>13.78</c:v>
                </c:pt>
                <c:pt idx="106">
                  <c:v>13.47</c:v>
                </c:pt>
                <c:pt idx="107">
                  <c:v>13.38</c:v>
                </c:pt>
                <c:pt idx="108">
                  <c:v>13.64</c:v>
                </c:pt>
                <c:pt idx="109">
                  <c:v>13.39</c:v>
                </c:pt>
                <c:pt idx="110">
                  <c:v>13.24</c:v>
                </c:pt>
                <c:pt idx="111">
                  <c:v>13.3</c:v>
                </c:pt>
                <c:pt idx="112">
                  <c:v>12.88</c:v>
                </c:pt>
                <c:pt idx="113">
                  <c:v>12.88</c:v>
                </c:pt>
                <c:pt idx="114">
                  <c:v>12.75</c:v>
                </c:pt>
                <c:pt idx="115">
                  <c:v>12.74</c:v>
                </c:pt>
                <c:pt idx="116">
                  <c:v>12.4</c:v>
                </c:pt>
                <c:pt idx="117">
                  <c:v>12.44</c:v>
                </c:pt>
                <c:pt idx="118">
                  <c:v>12.37</c:v>
                </c:pt>
                <c:pt idx="119">
                  <c:v>12.33</c:v>
                </c:pt>
                <c:pt idx="120">
                  <c:v>12.32</c:v>
                </c:pt>
                <c:pt idx="121">
                  <c:v>12.23</c:v>
                </c:pt>
                <c:pt idx="122">
                  <c:v>11.87</c:v>
                </c:pt>
                <c:pt idx="123">
                  <c:v>11.9</c:v>
                </c:pt>
                <c:pt idx="124">
                  <c:v>11.43</c:v>
                </c:pt>
                <c:pt idx="125">
                  <c:v>11.17</c:v>
                </c:pt>
                <c:pt idx="126">
                  <c:v>10.74</c:v>
                </c:pt>
                <c:pt idx="127">
                  <c:v>10.75</c:v>
                </c:pt>
                <c:pt idx="128">
                  <c:v>10.76</c:v>
                </c:pt>
                <c:pt idx="129">
                  <c:v>10.74</c:v>
                </c:pt>
                <c:pt idx="130">
                  <c:v>10.83</c:v>
                </c:pt>
                <c:pt idx="131">
                  <c:v>10.86</c:v>
                </c:pt>
                <c:pt idx="132">
                  <c:v>11.08</c:v>
                </c:pt>
                <c:pt idx="133">
                  <c:v>11.16</c:v>
                </c:pt>
                <c:pt idx="134">
                  <c:v>11.49</c:v>
                </c:pt>
                <c:pt idx="135">
                  <c:v>11.39</c:v>
                </c:pt>
                <c:pt idx="136">
                  <c:v>11.39</c:v>
                </c:pt>
                <c:pt idx="137">
                  <c:v>11.31</c:v>
                </c:pt>
                <c:pt idx="138">
                  <c:v>11.39</c:v>
                </c:pt>
                <c:pt idx="139">
                  <c:v>11.41</c:v>
                </c:pt>
                <c:pt idx="140">
                  <c:v>11.62</c:v>
                </c:pt>
                <c:pt idx="141">
                  <c:v>11.81</c:v>
                </c:pt>
                <c:pt idx="142">
                  <c:v>11.87</c:v>
                </c:pt>
                <c:pt idx="143">
                  <c:v>11.89</c:v>
                </c:pt>
                <c:pt idx="144">
                  <c:v>11.92</c:v>
                </c:pt>
                <c:pt idx="145">
                  <c:v>11.83</c:v>
                </c:pt>
                <c:pt idx="146">
                  <c:v>11.83</c:v>
                </c:pt>
                <c:pt idx="147">
                  <c:v>11.74</c:v>
                </c:pt>
                <c:pt idx="148">
                  <c:v>11.81</c:v>
                </c:pt>
                <c:pt idx="149">
                  <c:v>11.75</c:v>
                </c:pt>
                <c:pt idx="150">
                  <c:v>11.84</c:v>
                </c:pt>
                <c:pt idx="151">
                  <c:v>11.88</c:v>
                </c:pt>
                <c:pt idx="152">
                  <c:v>11.83</c:v>
                </c:pt>
                <c:pt idx="153">
                  <c:v>11.81</c:v>
                </c:pt>
                <c:pt idx="154">
                  <c:v>11.79</c:v>
                </c:pt>
                <c:pt idx="155">
                  <c:v>11.78</c:v>
                </c:pt>
                <c:pt idx="156">
                  <c:v>11.91</c:v>
                </c:pt>
                <c:pt idx="157">
                  <c:v>12.07</c:v>
                </c:pt>
                <c:pt idx="158">
                  <c:v>12.15</c:v>
                </c:pt>
                <c:pt idx="159">
                  <c:v>12.14</c:v>
                </c:pt>
                <c:pt idx="160">
                  <c:v>12.19</c:v>
                </c:pt>
                <c:pt idx="161">
                  <c:v>12.19</c:v>
                </c:pt>
                <c:pt idx="162">
                  <c:v>12.27</c:v>
                </c:pt>
                <c:pt idx="163">
                  <c:v>12.2</c:v>
                </c:pt>
                <c:pt idx="164">
                  <c:v>12.17</c:v>
                </c:pt>
                <c:pt idx="165">
                  <c:v>12.36</c:v>
                </c:pt>
                <c:pt idx="166">
                  <c:v>12.4</c:v>
                </c:pt>
                <c:pt idx="167">
                  <c:v>12.38</c:v>
                </c:pt>
                <c:pt idx="168">
                  <c:v>12.18</c:v>
                </c:pt>
                <c:pt idx="169">
                  <c:v>11.98</c:v>
                </c:pt>
                <c:pt idx="170">
                  <c:v>12.06</c:v>
                </c:pt>
                <c:pt idx="171">
                  <c:v>12.01</c:v>
                </c:pt>
                <c:pt idx="172">
                  <c:v>12.02</c:v>
                </c:pt>
              </c:numCache>
            </c:numRef>
          </c:val>
          <c:smooth val="0"/>
          <c:extLst>
            <c:ext xmlns:c16="http://schemas.microsoft.com/office/drawing/2014/chart" uri="{C3380CC4-5D6E-409C-BE32-E72D297353CC}">
              <c16:uniqueId val="{00000003-BE3A-354B-849D-D8F5280C8F14}"/>
            </c:ext>
          </c:extLst>
        </c:ser>
        <c:ser>
          <c:idx val="2"/>
          <c:order val="2"/>
          <c:tx>
            <c:strRef>
              <c:f>Datamlekograf!$G$1</c:f>
              <c:strCache>
                <c:ptCount val="1"/>
                <c:pt idx="0">
                  <c:v>Mléko SC</c:v>
                </c:pt>
              </c:strCache>
            </c:strRef>
          </c:tx>
          <c:spPr>
            <a:ln>
              <a:solidFill>
                <a:schemeClr val="tx1"/>
              </a:solidFill>
            </a:ln>
          </c:spPr>
          <c:marker>
            <c:symbol val="none"/>
          </c:marker>
          <c:trendline>
            <c:trendlineType val="linear"/>
            <c:dispRSqr val="1"/>
            <c:dispEq val="0"/>
            <c:trendlineLbl>
              <c:layout>
                <c:manualLayout>
                  <c:x val="-2.585635225158056E-3"/>
                  <c:y val="-1.9102482327599566E-2"/>
                </c:manualLayout>
              </c:layout>
              <c:numFmt formatCode="General" sourceLinked="0"/>
            </c:trendlineLbl>
          </c:trendline>
          <c:cat>
            <c:numRef>
              <c:f>Datamlekograf!$A$2:$A$174</c:f>
              <c:numCache>
                <c:formatCode>General</c:formatCode>
                <c:ptCount val="173"/>
                <c:pt idx="0">
                  <c:v>106</c:v>
                </c:pt>
                <c:pt idx="1">
                  <c:v>206</c:v>
                </c:pt>
                <c:pt idx="2">
                  <c:v>306</c:v>
                </c:pt>
                <c:pt idx="3">
                  <c:v>406</c:v>
                </c:pt>
                <c:pt idx="4">
                  <c:v>506</c:v>
                </c:pt>
                <c:pt idx="5">
                  <c:v>606</c:v>
                </c:pt>
                <c:pt idx="6">
                  <c:v>706</c:v>
                </c:pt>
                <c:pt idx="7">
                  <c:v>806</c:v>
                </c:pt>
                <c:pt idx="8">
                  <c:v>906</c:v>
                </c:pt>
                <c:pt idx="9">
                  <c:v>1006</c:v>
                </c:pt>
                <c:pt idx="10">
                  <c:v>1106</c:v>
                </c:pt>
                <c:pt idx="11">
                  <c:v>1206</c:v>
                </c:pt>
                <c:pt idx="12">
                  <c:v>107</c:v>
                </c:pt>
                <c:pt idx="13">
                  <c:v>207</c:v>
                </c:pt>
                <c:pt idx="14">
                  <c:v>307</c:v>
                </c:pt>
                <c:pt idx="15">
                  <c:v>407</c:v>
                </c:pt>
                <c:pt idx="16">
                  <c:v>507</c:v>
                </c:pt>
                <c:pt idx="17">
                  <c:v>607</c:v>
                </c:pt>
                <c:pt idx="18">
                  <c:v>707</c:v>
                </c:pt>
                <c:pt idx="19">
                  <c:v>807</c:v>
                </c:pt>
                <c:pt idx="20">
                  <c:v>907</c:v>
                </c:pt>
                <c:pt idx="21">
                  <c:v>1007</c:v>
                </c:pt>
                <c:pt idx="22">
                  <c:v>1107</c:v>
                </c:pt>
                <c:pt idx="23">
                  <c:v>1207</c:v>
                </c:pt>
                <c:pt idx="24">
                  <c:v>108</c:v>
                </c:pt>
                <c:pt idx="25">
                  <c:v>208</c:v>
                </c:pt>
                <c:pt idx="26">
                  <c:v>308</c:v>
                </c:pt>
                <c:pt idx="27">
                  <c:v>408</c:v>
                </c:pt>
                <c:pt idx="28">
                  <c:v>508</c:v>
                </c:pt>
                <c:pt idx="29">
                  <c:v>608</c:v>
                </c:pt>
                <c:pt idx="30">
                  <c:v>708</c:v>
                </c:pt>
                <c:pt idx="31">
                  <c:v>808</c:v>
                </c:pt>
                <c:pt idx="32">
                  <c:v>908</c:v>
                </c:pt>
                <c:pt idx="33">
                  <c:v>1008</c:v>
                </c:pt>
                <c:pt idx="34">
                  <c:v>1108</c:v>
                </c:pt>
                <c:pt idx="35">
                  <c:v>1208</c:v>
                </c:pt>
                <c:pt idx="36">
                  <c:v>109</c:v>
                </c:pt>
                <c:pt idx="37">
                  <c:v>209</c:v>
                </c:pt>
                <c:pt idx="38">
                  <c:v>309</c:v>
                </c:pt>
                <c:pt idx="39">
                  <c:v>409</c:v>
                </c:pt>
                <c:pt idx="40">
                  <c:v>509</c:v>
                </c:pt>
                <c:pt idx="41">
                  <c:v>609</c:v>
                </c:pt>
                <c:pt idx="42">
                  <c:v>709</c:v>
                </c:pt>
                <c:pt idx="43">
                  <c:v>809</c:v>
                </c:pt>
                <c:pt idx="44">
                  <c:v>909</c:v>
                </c:pt>
                <c:pt idx="45">
                  <c:v>1009</c:v>
                </c:pt>
                <c:pt idx="46">
                  <c:v>1109</c:v>
                </c:pt>
                <c:pt idx="47">
                  <c:v>1209</c:v>
                </c:pt>
                <c:pt idx="48">
                  <c:v>110</c:v>
                </c:pt>
                <c:pt idx="49">
                  <c:v>210</c:v>
                </c:pt>
                <c:pt idx="50">
                  <c:v>310</c:v>
                </c:pt>
                <c:pt idx="51">
                  <c:v>410</c:v>
                </c:pt>
                <c:pt idx="52">
                  <c:v>510</c:v>
                </c:pt>
                <c:pt idx="53">
                  <c:v>610</c:v>
                </c:pt>
                <c:pt idx="54">
                  <c:v>710</c:v>
                </c:pt>
                <c:pt idx="55">
                  <c:v>810</c:v>
                </c:pt>
                <c:pt idx="56">
                  <c:v>910</c:v>
                </c:pt>
                <c:pt idx="57">
                  <c:v>1010</c:v>
                </c:pt>
                <c:pt idx="58">
                  <c:v>1110</c:v>
                </c:pt>
                <c:pt idx="59">
                  <c:v>1210</c:v>
                </c:pt>
                <c:pt idx="60">
                  <c:v>111</c:v>
                </c:pt>
                <c:pt idx="61">
                  <c:v>211</c:v>
                </c:pt>
                <c:pt idx="62">
                  <c:v>311</c:v>
                </c:pt>
                <c:pt idx="63">
                  <c:v>411</c:v>
                </c:pt>
                <c:pt idx="64">
                  <c:v>511</c:v>
                </c:pt>
                <c:pt idx="65">
                  <c:v>611</c:v>
                </c:pt>
                <c:pt idx="66">
                  <c:v>711</c:v>
                </c:pt>
                <c:pt idx="67">
                  <c:v>811</c:v>
                </c:pt>
                <c:pt idx="68">
                  <c:v>911</c:v>
                </c:pt>
                <c:pt idx="69">
                  <c:v>1011</c:v>
                </c:pt>
                <c:pt idx="70">
                  <c:v>1111</c:v>
                </c:pt>
                <c:pt idx="71">
                  <c:v>1211</c:v>
                </c:pt>
                <c:pt idx="72">
                  <c:v>112</c:v>
                </c:pt>
                <c:pt idx="73">
                  <c:v>212</c:v>
                </c:pt>
                <c:pt idx="74">
                  <c:v>312</c:v>
                </c:pt>
                <c:pt idx="75">
                  <c:v>412</c:v>
                </c:pt>
                <c:pt idx="76">
                  <c:v>512</c:v>
                </c:pt>
                <c:pt idx="77">
                  <c:v>612</c:v>
                </c:pt>
                <c:pt idx="78">
                  <c:v>712</c:v>
                </c:pt>
                <c:pt idx="79">
                  <c:v>812</c:v>
                </c:pt>
                <c:pt idx="80">
                  <c:v>912</c:v>
                </c:pt>
                <c:pt idx="81">
                  <c:v>1012</c:v>
                </c:pt>
                <c:pt idx="82">
                  <c:v>1112</c:v>
                </c:pt>
                <c:pt idx="83">
                  <c:v>1212</c:v>
                </c:pt>
                <c:pt idx="84">
                  <c:v>113</c:v>
                </c:pt>
                <c:pt idx="85">
                  <c:v>213</c:v>
                </c:pt>
                <c:pt idx="86">
                  <c:v>313</c:v>
                </c:pt>
                <c:pt idx="87">
                  <c:v>413</c:v>
                </c:pt>
                <c:pt idx="88">
                  <c:v>513</c:v>
                </c:pt>
                <c:pt idx="89">
                  <c:v>613</c:v>
                </c:pt>
                <c:pt idx="90">
                  <c:v>713</c:v>
                </c:pt>
                <c:pt idx="91">
                  <c:v>813</c:v>
                </c:pt>
                <c:pt idx="92">
                  <c:v>913</c:v>
                </c:pt>
                <c:pt idx="93">
                  <c:v>1013</c:v>
                </c:pt>
                <c:pt idx="94">
                  <c:v>1113</c:v>
                </c:pt>
                <c:pt idx="95">
                  <c:v>1213</c:v>
                </c:pt>
                <c:pt idx="96">
                  <c:v>114</c:v>
                </c:pt>
                <c:pt idx="97">
                  <c:v>214</c:v>
                </c:pt>
                <c:pt idx="98">
                  <c:v>314</c:v>
                </c:pt>
                <c:pt idx="99">
                  <c:v>414</c:v>
                </c:pt>
                <c:pt idx="100">
                  <c:v>514</c:v>
                </c:pt>
                <c:pt idx="101">
                  <c:v>614</c:v>
                </c:pt>
                <c:pt idx="102">
                  <c:v>714</c:v>
                </c:pt>
                <c:pt idx="103">
                  <c:v>814</c:v>
                </c:pt>
                <c:pt idx="104">
                  <c:v>914</c:v>
                </c:pt>
                <c:pt idx="105">
                  <c:v>1014</c:v>
                </c:pt>
                <c:pt idx="106">
                  <c:v>1114</c:v>
                </c:pt>
                <c:pt idx="107">
                  <c:v>1214</c:v>
                </c:pt>
                <c:pt idx="108">
                  <c:v>115</c:v>
                </c:pt>
                <c:pt idx="109">
                  <c:v>215</c:v>
                </c:pt>
                <c:pt idx="110">
                  <c:v>315</c:v>
                </c:pt>
                <c:pt idx="111">
                  <c:v>415</c:v>
                </c:pt>
                <c:pt idx="112">
                  <c:v>515</c:v>
                </c:pt>
                <c:pt idx="113">
                  <c:v>615</c:v>
                </c:pt>
                <c:pt idx="114">
                  <c:v>715</c:v>
                </c:pt>
                <c:pt idx="115">
                  <c:v>815</c:v>
                </c:pt>
                <c:pt idx="116">
                  <c:v>915</c:v>
                </c:pt>
                <c:pt idx="117">
                  <c:v>1015</c:v>
                </c:pt>
                <c:pt idx="118">
                  <c:v>1115</c:v>
                </c:pt>
                <c:pt idx="119">
                  <c:v>1215</c:v>
                </c:pt>
                <c:pt idx="120">
                  <c:v>116</c:v>
                </c:pt>
                <c:pt idx="121">
                  <c:v>216</c:v>
                </c:pt>
                <c:pt idx="122">
                  <c:v>316</c:v>
                </c:pt>
                <c:pt idx="123">
                  <c:v>416</c:v>
                </c:pt>
                <c:pt idx="124">
                  <c:v>516</c:v>
                </c:pt>
                <c:pt idx="125">
                  <c:v>616</c:v>
                </c:pt>
                <c:pt idx="126">
                  <c:v>716</c:v>
                </c:pt>
                <c:pt idx="127">
                  <c:v>816</c:v>
                </c:pt>
                <c:pt idx="128">
                  <c:v>916</c:v>
                </c:pt>
                <c:pt idx="129">
                  <c:v>1016</c:v>
                </c:pt>
                <c:pt idx="130">
                  <c:v>1116</c:v>
                </c:pt>
                <c:pt idx="131">
                  <c:v>1216</c:v>
                </c:pt>
                <c:pt idx="132">
                  <c:v>117</c:v>
                </c:pt>
                <c:pt idx="133">
                  <c:v>217</c:v>
                </c:pt>
                <c:pt idx="134">
                  <c:v>317</c:v>
                </c:pt>
                <c:pt idx="135">
                  <c:v>417</c:v>
                </c:pt>
                <c:pt idx="136">
                  <c:v>517</c:v>
                </c:pt>
                <c:pt idx="137">
                  <c:v>617</c:v>
                </c:pt>
                <c:pt idx="138">
                  <c:v>717</c:v>
                </c:pt>
                <c:pt idx="139">
                  <c:v>817</c:v>
                </c:pt>
                <c:pt idx="140">
                  <c:v>917</c:v>
                </c:pt>
                <c:pt idx="141">
                  <c:v>1017</c:v>
                </c:pt>
                <c:pt idx="142">
                  <c:v>1117</c:v>
                </c:pt>
                <c:pt idx="143">
                  <c:v>1217</c:v>
                </c:pt>
                <c:pt idx="144">
                  <c:v>118</c:v>
                </c:pt>
                <c:pt idx="145">
                  <c:v>218</c:v>
                </c:pt>
                <c:pt idx="146">
                  <c:v>318</c:v>
                </c:pt>
                <c:pt idx="147">
                  <c:v>418</c:v>
                </c:pt>
                <c:pt idx="148">
                  <c:v>518</c:v>
                </c:pt>
                <c:pt idx="149">
                  <c:v>618</c:v>
                </c:pt>
                <c:pt idx="150">
                  <c:v>718</c:v>
                </c:pt>
                <c:pt idx="151">
                  <c:v>818</c:v>
                </c:pt>
                <c:pt idx="152">
                  <c:v>918</c:v>
                </c:pt>
                <c:pt idx="153">
                  <c:v>1018</c:v>
                </c:pt>
                <c:pt idx="154">
                  <c:v>1118</c:v>
                </c:pt>
                <c:pt idx="155">
                  <c:v>1218</c:v>
                </c:pt>
                <c:pt idx="156">
                  <c:v>119</c:v>
                </c:pt>
                <c:pt idx="157">
                  <c:v>219</c:v>
                </c:pt>
                <c:pt idx="158">
                  <c:v>319</c:v>
                </c:pt>
                <c:pt idx="159">
                  <c:v>419</c:v>
                </c:pt>
                <c:pt idx="160">
                  <c:v>519</c:v>
                </c:pt>
                <c:pt idx="161">
                  <c:v>619</c:v>
                </c:pt>
                <c:pt idx="162">
                  <c:v>719</c:v>
                </c:pt>
                <c:pt idx="163">
                  <c:v>819</c:v>
                </c:pt>
                <c:pt idx="164">
                  <c:v>919</c:v>
                </c:pt>
                <c:pt idx="165">
                  <c:v>1019</c:v>
                </c:pt>
                <c:pt idx="166">
                  <c:v>1119</c:v>
                </c:pt>
                <c:pt idx="167">
                  <c:v>1219</c:v>
                </c:pt>
                <c:pt idx="168">
                  <c:v>120</c:v>
                </c:pt>
                <c:pt idx="169">
                  <c:v>220</c:v>
                </c:pt>
                <c:pt idx="170">
                  <c:v>320</c:v>
                </c:pt>
                <c:pt idx="171">
                  <c:v>420</c:v>
                </c:pt>
                <c:pt idx="172">
                  <c:v>520</c:v>
                </c:pt>
              </c:numCache>
            </c:numRef>
          </c:cat>
          <c:val>
            <c:numRef>
              <c:f>Datamlekograf!$G$2:$G$174</c:f>
              <c:numCache>
                <c:formatCode>General</c:formatCode>
                <c:ptCount val="173"/>
                <c:pt idx="0">
                  <c:v>14.23</c:v>
                </c:pt>
                <c:pt idx="1">
                  <c:v>14.12</c:v>
                </c:pt>
                <c:pt idx="2">
                  <c:v>14.39</c:v>
                </c:pt>
                <c:pt idx="3">
                  <c:v>14.34</c:v>
                </c:pt>
                <c:pt idx="4">
                  <c:v>14.42</c:v>
                </c:pt>
                <c:pt idx="5">
                  <c:v>14.34</c:v>
                </c:pt>
                <c:pt idx="6">
                  <c:v>14.41</c:v>
                </c:pt>
                <c:pt idx="7">
                  <c:v>14.45</c:v>
                </c:pt>
                <c:pt idx="8">
                  <c:v>14.48</c:v>
                </c:pt>
                <c:pt idx="9">
                  <c:v>14.45</c:v>
                </c:pt>
                <c:pt idx="10">
                  <c:v>14.45</c:v>
                </c:pt>
                <c:pt idx="11">
                  <c:v>14.4</c:v>
                </c:pt>
                <c:pt idx="12">
                  <c:v>14.43</c:v>
                </c:pt>
                <c:pt idx="13">
                  <c:v>14.49</c:v>
                </c:pt>
                <c:pt idx="14">
                  <c:v>14.65</c:v>
                </c:pt>
                <c:pt idx="15">
                  <c:v>14.7</c:v>
                </c:pt>
                <c:pt idx="16">
                  <c:v>14.83</c:v>
                </c:pt>
                <c:pt idx="17">
                  <c:v>15.1</c:v>
                </c:pt>
                <c:pt idx="18">
                  <c:v>15.44</c:v>
                </c:pt>
                <c:pt idx="19">
                  <c:v>15.42</c:v>
                </c:pt>
                <c:pt idx="20">
                  <c:v>15.3</c:v>
                </c:pt>
                <c:pt idx="21">
                  <c:v>16.670000000000002</c:v>
                </c:pt>
                <c:pt idx="22">
                  <c:v>17.54</c:v>
                </c:pt>
                <c:pt idx="23">
                  <c:v>17.84</c:v>
                </c:pt>
                <c:pt idx="24">
                  <c:v>18.21</c:v>
                </c:pt>
                <c:pt idx="25">
                  <c:v>18.170000000000002</c:v>
                </c:pt>
                <c:pt idx="26">
                  <c:v>18.09</c:v>
                </c:pt>
                <c:pt idx="27">
                  <c:v>18.12</c:v>
                </c:pt>
                <c:pt idx="28">
                  <c:v>17.72</c:v>
                </c:pt>
                <c:pt idx="29">
                  <c:v>17.8</c:v>
                </c:pt>
                <c:pt idx="30">
                  <c:v>17.7</c:v>
                </c:pt>
                <c:pt idx="31">
                  <c:v>17.7</c:v>
                </c:pt>
                <c:pt idx="32">
                  <c:v>17.55</c:v>
                </c:pt>
                <c:pt idx="33">
                  <c:v>17.54</c:v>
                </c:pt>
                <c:pt idx="34">
                  <c:v>17.440000000000001</c:v>
                </c:pt>
                <c:pt idx="35">
                  <c:v>17.28</c:v>
                </c:pt>
                <c:pt idx="36">
                  <c:v>16.89</c:v>
                </c:pt>
                <c:pt idx="37">
                  <c:v>16.45</c:v>
                </c:pt>
                <c:pt idx="38">
                  <c:v>15.79</c:v>
                </c:pt>
                <c:pt idx="39">
                  <c:v>15.8</c:v>
                </c:pt>
                <c:pt idx="40">
                  <c:v>15.61</c:v>
                </c:pt>
                <c:pt idx="41">
                  <c:v>15.76</c:v>
                </c:pt>
                <c:pt idx="42">
                  <c:v>15.22</c:v>
                </c:pt>
                <c:pt idx="43">
                  <c:v>14.73</c:v>
                </c:pt>
                <c:pt idx="44">
                  <c:v>14.99</c:v>
                </c:pt>
                <c:pt idx="45">
                  <c:v>14.97</c:v>
                </c:pt>
                <c:pt idx="46">
                  <c:v>15.21</c:v>
                </c:pt>
                <c:pt idx="47">
                  <c:v>15.32</c:v>
                </c:pt>
                <c:pt idx="48">
                  <c:v>15.73</c:v>
                </c:pt>
                <c:pt idx="49">
                  <c:v>15.79</c:v>
                </c:pt>
                <c:pt idx="50">
                  <c:v>15</c:v>
                </c:pt>
                <c:pt idx="51">
                  <c:v>15.74</c:v>
                </c:pt>
                <c:pt idx="52">
                  <c:v>15.43</c:v>
                </c:pt>
                <c:pt idx="53">
                  <c:v>15.4</c:v>
                </c:pt>
                <c:pt idx="54">
                  <c:v>16.579999999999998</c:v>
                </c:pt>
                <c:pt idx="55">
                  <c:v>16.71</c:v>
                </c:pt>
                <c:pt idx="56">
                  <c:v>16.27</c:v>
                </c:pt>
                <c:pt idx="57">
                  <c:v>16.809999999999999</c:v>
                </c:pt>
                <c:pt idx="58">
                  <c:v>16.62</c:v>
                </c:pt>
                <c:pt idx="59">
                  <c:v>16.170000000000002</c:v>
                </c:pt>
                <c:pt idx="60">
                  <c:v>16.670000000000002</c:v>
                </c:pt>
                <c:pt idx="61">
                  <c:v>16.62</c:v>
                </c:pt>
                <c:pt idx="62">
                  <c:v>17.53</c:v>
                </c:pt>
                <c:pt idx="63">
                  <c:v>17.77</c:v>
                </c:pt>
                <c:pt idx="64">
                  <c:v>17.95</c:v>
                </c:pt>
                <c:pt idx="65">
                  <c:v>17.5</c:v>
                </c:pt>
                <c:pt idx="66">
                  <c:v>17.940000000000001</c:v>
                </c:pt>
                <c:pt idx="67">
                  <c:v>17.809999999999999</c:v>
                </c:pt>
                <c:pt idx="68">
                  <c:v>17.48</c:v>
                </c:pt>
                <c:pt idx="69">
                  <c:v>17.82</c:v>
                </c:pt>
                <c:pt idx="70">
                  <c:v>18.03</c:v>
                </c:pt>
                <c:pt idx="71">
                  <c:v>18.45</c:v>
                </c:pt>
                <c:pt idx="72">
                  <c:v>19</c:v>
                </c:pt>
                <c:pt idx="73">
                  <c:v>18.170000000000002</c:v>
                </c:pt>
                <c:pt idx="74">
                  <c:v>19.12</c:v>
                </c:pt>
                <c:pt idx="75">
                  <c:v>18.75</c:v>
                </c:pt>
                <c:pt idx="76">
                  <c:v>19.61</c:v>
                </c:pt>
                <c:pt idx="77">
                  <c:v>18.920000000000002</c:v>
                </c:pt>
                <c:pt idx="78">
                  <c:v>18.489999999999998</c:v>
                </c:pt>
                <c:pt idx="79">
                  <c:v>18.52</c:v>
                </c:pt>
                <c:pt idx="80">
                  <c:v>18.34</c:v>
                </c:pt>
                <c:pt idx="81">
                  <c:v>19.170000000000002</c:v>
                </c:pt>
                <c:pt idx="82">
                  <c:v>18.34</c:v>
                </c:pt>
                <c:pt idx="83">
                  <c:v>18.32</c:v>
                </c:pt>
                <c:pt idx="84">
                  <c:v>19.3</c:v>
                </c:pt>
                <c:pt idx="85">
                  <c:v>19.18</c:v>
                </c:pt>
                <c:pt idx="86">
                  <c:v>19.28</c:v>
                </c:pt>
                <c:pt idx="87">
                  <c:v>18.989999999999998</c:v>
                </c:pt>
                <c:pt idx="88">
                  <c:v>18.68</c:v>
                </c:pt>
                <c:pt idx="89">
                  <c:v>19.079999999999998</c:v>
                </c:pt>
                <c:pt idx="90">
                  <c:v>19.21</c:v>
                </c:pt>
                <c:pt idx="91">
                  <c:v>19.03</c:v>
                </c:pt>
                <c:pt idx="92">
                  <c:v>19.14</c:v>
                </c:pt>
                <c:pt idx="93">
                  <c:v>19.489999999999998</c:v>
                </c:pt>
                <c:pt idx="94">
                  <c:v>19.489999999999998</c:v>
                </c:pt>
                <c:pt idx="95">
                  <c:v>20.49</c:v>
                </c:pt>
                <c:pt idx="96">
                  <c:v>19.86</c:v>
                </c:pt>
                <c:pt idx="97">
                  <c:v>19.96</c:v>
                </c:pt>
                <c:pt idx="98">
                  <c:v>21.07</c:v>
                </c:pt>
                <c:pt idx="99">
                  <c:v>21.18</c:v>
                </c:pt>
                <c:pt idx="100">
                  <c:v>21.07</c:v>
                </c:pt>
                <c:pt idx="101">
                  <c:v>21.05</c:v>
                </c:pt>
                <c:pt idx="102">
                  <c:v>21.14</c:v>
                </c:pt>
                <c:pt idx="103">
                  <c:v>20.83</c:v>
                </c:pt>
                <c:pt idx="104">
                  <c:v>20.21</c:v>
                </c:pt>
                <c:pt idx="105">
                  <c:v>21.07</c:v>
                </c:pt>
                <c:pt idx="106">
                  <c:v>20.9</c:v>
                </c:pt>
                <c:pt idx="107">
                  <c:v>20.59</c:v>
                </c:pt>
                <c:pt idx="108">
                  <c:v>20.329999999999998</c:v>
                </c:pt>
                <c:pt idx="109">
                  <c:v>21.04</c:v>
                </c:pt>
                <c:pt idx="110">
                  <c:v>20.8</c:v>
                </c:pt>
                <c:pt idx="111">
                  <c:v>20.52</c:v>
                </c:pt>
                <c:pt idx="112">
                  <c:v>20.27</c:v>
                </c:pt>
                <c:pt idx="113">
                  <c:v>19.86</c:v>
                </c:pt>
                <c:pt idx="114">
                  <c:v>18.62</c:v>
                </c:pt>
                <c:pt idx="115">
                  <c:v>18.98</c:v>
                </c:pt>
                <c:pt idx="116">
                  <c:v>19.07</c:v>
                </c:pt>
                <c:pt idx="117">
                  <c:v>19.510000000000002</c:v>
                </c:pt>
                <c:pt idx="118">
                  <c:v>18.55</c:v>
                </c:pt>
                <c:pt idx="119">
                  <c:v>17.8</c:v>
                </c:pt>
                <c:pt idx="120">
                  <c:v>19.21</c:v>
                </c:pt>
                <c:pt idx="121">
                  <c:v>18.739999999999998</c:v>
                </c:pt>
                <c:pt idx="122">
                  <c:v>17.53</c:v>
                </c:pt>
                <c:pt idx="123">
                  <c:v>18.59</c:v>
                </c:pt>
                <c:pt idx="124">
                  <c:v>17.809999999999999</c:v>
                </c:pt>
                <c:pt idx="125">
                  <c:v>17.440000000000001</c:v>
                </c:pt>
                <c:pt idx="126">
                  <c:v>16.86</c:v>
                </c:pt>
                <c:pt idx="127">
                  <c:v>17.63</c:v>
                </c:pt>
                <c:pt idx="128">
                  <c:v>17.27</c:v>
                </c:pt>
                <c:pt idx="129">
                  <c:v>17.89</c:v>
                </c:pt>
                <c:pt idx="130">
                  <c:v>18.32</c:v>
                </c:pt>
                <c:pt idx="131">
                  <c:v>18.61</c:v>
                </c:pt>
                <c:pt idx="132">
                  <c:v>18.73</c:v>
                </c:pt>
                <c:pt idx="133">
                  <c:v>19.350000000000001</c:v>
                </c:pt>
                <c:pt idx="134">
                  <c:v>19.04</c:v>
                </c:pt>
                <c:pt idx="135">
                  <c:v>19.8</c:v>
                </c:pt>
                <c:pt idx="136">
                  <c:v>18.71</c:v>
                </c:pt>
                <c:pt idx="137">
                  <c:v>19.579999999999998</c:v>
                </c:pt>
                <c:pt idx="138">
                  <c:v>19.45</c:v>
                </c:pt>
                <c:pt idx="139">
                  <c:v>20.010000000000002</c:v>
                </c:pt>
                <c:pt idx="140">
                  <c:v>19.72</c:v>
                </c:pt>
                <c:pt idx="141">
                  <c:v>19.920000000000002</c:v>
                </c:pt>
                <c:pt idx="142">
                  <c:v>20.47</c:v>
                </c:pt>
                <c:pt idx="143">
                  <c:v>20.32</c:v>
                </c:pt>
                <c:pt idx="144">
                  <c:v>20.3</c:v>
                </c:pt>
                <c:pt idx="145">
                  <c:v>20.55</c:v>
                </c:pt>
                <c:pt idx="146">
                  <c:v>19.440000000000001</c:v>
                </c:pt>
                <c:pt idx="147">
                  <c:v>19.68</c:v>
                </c:pt>
                <c:pt idx="148">
                  <c:v>19.66</c:v>
                </c:pt>
                <c:pt idx="149">
                  <c:v>19.170000000000002</c:v>
                </c:pt>
                <c:pt idx="150">
                  <c:v>20.190000000000001</c:v>
                </c:pt>
                <c:pt idx="151">
                  <c:v>20.079999999999998</c:v>
                </c:pt>
                <c:pt idx="152">
                  <c:v>20.25</c:v>
                </c:pt>
                <c:pt idx="153">
                  <c:v>19.57</c:v>
                </c:pt>
                <c:pt idx="154">
                  <c:v>19.45</c:v>
                </c:pt>
                <c:pt idx="155">
                  <c:v>19.670000000000002</c:v>
                </c:pt>
                <c:pt idx="156">
                  <c:v>19.27</c:v>
                </c:pt>
                <c:pt idx="157">
                  <c:v>20.12</c:v>
                </c:pt>
                <c:pt idx="158">
                  <c:v>20.22</c:v>
                </c:pt>
                <c:pt idx="159">
                  <c:v>20.059999999999999</c:v>
                </c:pt>
                <c:pt idx="160">
                  <c:v>20.75</c:v>
                </c:pt>
                <c:pt idx="161">
                  <c:v>19.95</c:v>
                </c:pt>
                <c:pt idx="162">
                  <c:v>20.239999999999998</c:v>
                </c:pt>
                <c:pt idx="163">
                  <c:v>20.38</c:v>
                </c:pt>
                <c:pt idx="164">
                  <c:v>20.059999999999999</c:v>
                </c:pt>
                <c:pt idx="165">
                  <c:v>20.34</c:v>
                </c:pt>
                <c:pt idx="166">
                  <c:v>20.55</c:v>
                </c:pt>
                <c:pt idx="167">
                  <c:v>20.79</c:v>
                </c:pt>
                <c:pt idx="168">
                  <c:v>19.39</c:v>
                </c:pt>
                <c:pt idx="169">
                  <c:v>19.690000000000001</c:v>
                </c:pt>
                <c:pt idx="170">
                  <c:v>20.07</c:v>
                </c:pt>
                <c:pt idx="171">
                  <c:v>19.899999999999999</c:v>
                </c:pt>
                <c:pt idx="172">
                  <c:v>20.03</c:v>
                </c:pt>
              </c:numCache>
            </c:numRef>
          </c:val>
          <c:smooth val="0"/>
          <c:extLst>
            <c:ext xmlns:c16="http://schemas.microsoft.com/office/drawing/2014/chart" uri="{C3380CC4-5D6E-409C-BE32-E72D297353CC}">
              <c16:uniqueId val="{00000005-BE3A-354B-849D-D8F5280C8F14}"/>
            </c:ext>
          </c:extLst>
        </c:ser>
        <c:dLbls>
          <c:showLegendKey val="0"/>
          <c:showVal val="0"/>
          <c:showCatName val="0"/>
          <c:showSerName val="0"/>
          <c:showPercent val="0"/>
          <c:showBubbleSize val="0"/>
        </c:dLbls>
        <c:smooth val="0"/>
        <c:axId val="135155712"/>
        <c:axId val="135158784"/>
      </c:lineChart>
      <c:catAx>
        <c:axId val="135155712"/>
        <c:scaling>
          <c:orientation val="minMax"/>
        </c:scaling>
        <c:delete val="0"/>
        <c:axPos val="b"/>
        <c:numFmt formatCode="General" sourceLinked="1"/>
        <c:majorTickMark val="out"/>
        <c:minorTickMark val="none"/>
        <c:tickLblPos val="nextTo"/>
        <c:crossAx val="135158784"/>
        <c:crosses val="autoZero"/>
        <c:auto val="1"/>
        <c:lblAlgn val="ctr"/>
        <c:lblOffset val="100"/>
        <c:noMultiLvlLbl val="0"/>
      </c:catAx>
      <c:valAx>
        <c:axId val="135158784"/>
        <c:scaling>
          <c:orientation val="minMax"/>
        </c:scaling>
        <c:delete val="0"/>
        <c:axPos val="l"/>
        <c:majorGridlines/>
        <c:title>
          <c:tx>
            <c:rich>
              <a:bodyPr/>
              <a:lstStyle/>
              <a:p>
                <a:pPr>
                  <a:defRPr/>
                </a:pPr>
                <a:r>
                  <a:rPr lang="cs-CZ"/>
                  <a:t>Kč/l</a:t>
                </a:r>
              </a:p>
            </c:rich>
          </c:tx>
          <c:overlay val="0"/>
        </c:title>
        <c:numFmt formatCode="General" sourceLinked="1"/>
        <c:majorTickMark val="out"/>
        <c:minorTickMark val="none"/>
        <c:tickLblPos val="nextTo"/>
        <c:crossAx val="135155712"/>
        <c:crosses val="autoZero"/>
        <c:crossBetween val="between"/>
      </c:valAx>
    </c:plotArea>
    <c:legend>
      <c:legendPos val="b"/>
      <c:overlay val="0"/>
    </c:legend>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392609699769054"/>
          <c:y val="3.2679738562091505E-2"/>
          <c:w val="0.82332563510392609"/>
          <c:h val="0.68811659045947049"/>
        </c:manualLayout>
      </c:layout>
      <c:lineChart>
        <c:grouping val="standard"/>
        <c:varyColors val="0"/>
        <c:ser>
          <c:idx val="0"/>
          <c:order val="0"/>
          <c:tx>
            <c:strRef>
              <c:f>Datapork!$Z$9</c:f>
              <c:strCache>
                <c:ptCount val="1"/>
                <c:pt idx="0">
                  <c:v>Prasata jatečná CZV</c:v>
                </c:pt>
              </c:strCache>
            </c:strRef>
          </c:tx>
          <c:spPr>
            <a:ln w="19050">
              <a:solidFill>
                <a:srgbClr val="0070C0"/>
              </a:solidFill>
              <a:prstDash val="solid"/>
            </a:ln>
          </c:spPr>
          <c:marker>
            <c:symbol val="none"/>
          </c:marker>
          <c:trendline>
            <c:spPr>
              <a:ln w="3175">
                <a:solidFill>
                  <a:srgbClr val="000000"/>
                </a:solidFill>
                <a:prstDash val="solid"/>
              </a:ln>
            </c:spPr>
            <c:trendlineType val="linear"/>
            <c:dispRSqr val="1"/>
            <c:dispEq val="0"/>
            <c:trendlineLbl>
              <c:layout>
                <c:manualLayout>
                  <c:x val="-9.2909748867996411E-3"/>
                  <c:y val="2.8062603285700427E-2"/>
                </c:manualLayout>
              </c:layout>
              <c:numFmt formatCode="General" sourceLinked="0"/>
              <c:spPr>
                <a:noFill/>
                <a:ln w="25400">
                  <a:noFill/>
                </a:ln>
              </c:spPr>
              <c:txPr>
                <a:bodyPr/>
                <a:lstStyle/>
                <a:p>
                  <a:pPr>
                    <a:defRPr sz="1000" b="0" i="0" u="none" strike="noStrike" baseline="0">
                      <a:solidFill>
                        <a:srgbClr val="000000"/>
                      </a:solidFill>
                      <a:latin typeface="Calibri"/>
                      <a:ea typeface="Calibri"/>
                      <a:cs typeface="Calibri"/>
                    </a:defRPr>
                  </a:pPr>
                  <a:endParaRPr lang="cs-CZ"/>
                </a:p>
              </c:txPr>
            </c:trendlineLbl>
          </c:trendline>
          <c:cat>
            <c:numRef>
              <c:f>Datapork!$A$2:$A$174</c:f>
              <c:numCache>
                <c:formatCode>General</c:formatCode>
                <c:ptCount val="173"/>
                <c:pt idx="0">
                  <c:v>106</c:v>
                </c:pt>
                <c:pt idx="1">
                  <c:v>206</c:v>
                </c:pt>
                <c:pt idx="2">
                  <c:v>306</c:v>
                </c:pt>
                <c:pt idx="3">
                  <c:v>406</c:v>
                </c:pt>
                <c:pt idx="4">
                  <c:v>506</c:v>
                </c:pt>
                <c:pt idx="5">
                  <c:v>606</c:v>
                </c:pt>
                <c:pt idx="6">
                  <c:v>706</c:v>
                </c:pt>
                <c:pt idx="7">
                  <c:v>806</c:v>
                </c:pt>
                <c:pt idx="8">
                  <c:v>906</c:v>
                </c:pt>
                <c:pt idx="9">
                  <c:v>1006</c:v>
                </c:pt>
                <c:pt idx="10">
                  <c:v>1106</c:v>
                </c:pt>
                <c:pt idx="11">
                  <c:v>1206</c:v>
                </c:pt>
                <c:pt idx="12">
                  <c:v>107</c:v>
                </c:pt>
                <c:pt idx="13">
                  <c:v>207</c:v>
                </c:pt>
                <c:pt idx="14">
                  <c:v>307</c:v>
                </c:pt>
                <c:pt idx="15">
                  <c:v>407</c:v>
                </c:pt>
                <c:pt idx="16">
                  <c:v>507</c:v>
                </c:pt>
                <c:pt idx="17">
                  <c:v>607</c:v>
                </c:pt>
                <c:pt idx="18">
                  <c:v>707</c:v>
                </c:pt>
                <c:pt idx="19">
                  <c:v>807</c:v>
                </c:pt>
                <c:pt idx="20">
                  <c:v>907</c:v>
                </c:pt>
                <c:pt idx="21">
                  <c:v>1007</c:v>
                </c:pt>
                <c:pt idx="22">
                  <c:v>1107</c:v>
                </c:pt>
                <c:pt idx="23">
                  <c:v>1207</c:v>
                </c:pt>
                <c:pt idx="24">
                  <c:v>108</c:v>
                </c:pt>
                <c:pt idx="25">
                  <c:v>208</c:v>
                </c:pt>
                <c:pt idx="26">
                  <c:v>308</c:v>
                </c:pt>
                <c:pt idx="27">
                  <c:v>408</c:v>
                </c:pt>
                <c:pt idx="28">
                  <c:v>508</c:v>
                </c:pt>
                <c:pt idx="29">
                  <c:v>608</c:v>
                </c:pt>
                <c:pt idx="30">
                  <c:v>708</c:v>
                </c:pt>
                <c:pt idx="31">
                  <c:v>808</c:v>
                </c:pt>
                <c:pt idx="32">
                  <c:v>908</c:v>
                </c:pt>
                <c:pt idx="33">
                  <c:v>1008</c:v>
                </c:pt>
                <c:pt idx="34">
                  <c:v>1108</c:v>
                </c:pt>
                <c:pt idx="35">
                  <c:v>1208</c:v>
                </c:pt>
                <c:pt idx="36">
                  <c:v>109</c:v>
                </c:pt>
                <c:pt idx="37">
                  <c:v>209</c:v>
                </c:pt>
                <c:pt idx="38">
                  <c:v>309</c:v>
                </c:pt>
                <c:pt idx="39">
                  <c:v>409</c:v>
                </c:pt>
                <c:pt idx="40">
                  <c:v>509</c:v>
                </c:pt>
                <c:pt idx="41">
                  <c:v>609</c:v>
                </c:pt>
                <c:pt idx="42">
                  <c:v>709</c:v>
                </c:pt>
                <c:pt idx="43">
                  <c:v>809</c:v>
                </c:pt>
                <c:pt idx="44">
                  <c:v>909</c:v>
                </c:pt>
                <c:pt idx="45">
                  <c:v>1009</c:v>
                </c:pt>
                <c:pt idx="46">
                  <c:v>1109</c:v>
                </c:pt>
                <c:pt idx="47">
                  <c:v>1209</c:v>
                </c:pt>
                <c:pt idx="48">
                  <c:v>110</c:v>
                </c:pt>
                <c:pt idx="49">
                  <c:v>210</c:v>
                </c:pt>
                <c:pt idx="50">
                  <c:v>310</c:v>
                </c:pt>
                <c:pt idx="51">
                  <c:v>410</c:v>
                </c:pt>
                <c:pt idx="52">
                  <c:v>510</c:v>
                </c:pt>
                <c:pt idx="53">
                  <c:v>610</c:v>
                </c:pt>
                <c:pt idx="54">
                  <c:v>710</c:v>
                </c:pt>
                <c:pt idx="55">
                  <c:v>810</c:v>
                </c:pt>
                <c:pt idx="56">
                  <c:v>910</c:v>
                </c:pt>
                <c:pt idx="57">
                  <c:v>1010</c:v>
                </c:pt>
                <c:pt idx="58">
                  <c:v>1110</c:v>
                </c:pt>
                <c:pt idx="59">
                  <c:v>1210</c:v>
                </c:pt>
                <c:pt idx="60">
                  <c:v>111</c:v>
                </c:pt>
                <c:pt idx="61">
                  <c:v>211</c:v>
                </c:pt>
                <c:pt idx="62">
                  <c:v>311</c:v>
                </c:pt>
                <c:pt idx="63">
                  <c:v>411</c:v>
                </c:pt>
                <c:pt idx="64">
                  <c:v>511</c:v>
                </c:pt>
                <c:pt idx="65">
                  <c:v>611</c:v>
                </c:pt>
                <c:pt idx="66">
                  <c:v>711</c:v>
                </c:pt>
                <c:pt idx="67">
                  <c:v>811</c:v>
                </c:pt>
                <c:pt idx="68">
                  <c:v>911</c:v>
                </c:pt>
                <c:pt idx="69">
                  <c:v>1011</c:v>
                </c:pt>
                <c:pt idx="70">
                  <c:v>1111</c:v>
                </c:pt>
                <c:pt idx="71">
                  <c:v>1211</c:v>
                </c:pt>
                <c:pt idx="72">
                  <c:v>112</c:v>
                </c:pt>
                <c:pt idx="73">
                  <c:v>212</c:v>
                </c:pt>
                <c:pt idx="74">
                  <c:v>312</c:v>
                </c:pt>
                <c:pt idx="75">
                  <c:v>412</c:v>
                </c:pt>
                <c:pt idx="76">
                  <c:v>512</c:v>
                </c:pt>
                <c:pt idx="77">
                  <c:v>612</c:v>
                </c:pt>
                <c:pt idx="78">
                  <c:v>712</c:v>
                </c:pt>
                <c:pt idx="79">
                  <c:v>812</c:v>
                </c:pt>
                <c:pt idx="80">
                  <c:v>912</c:v>
                </c:pt>
                <c:pt idx="81">
                  <c:v>1012</c:v>
                </c:pt>
                <c:pt idx="82">
                  <c:v>1112</c:v>
                </c:pt>
                <c:pt idx="83">
                  <c:v>1212</c:v>
                </c:pt>
                <c:pt idx="84">
                  <c:v>113</c:v>
                </c:pt>
                <c:pt idx="85">
                  <c:v>213</c:v>
                </c:pt>
                <c:pt idx="86">
                  <c:v>313</c:v>
                </c:pt>
                <c:pt idx="87">
                  <c:v>413</c:v>
                </c:pt>
                <c:pt idx="88">
                  <c:v>513</c:v>
                </c:pt>
                <c:pt idx="89">
                  <c:v>613</c:v>
                </c:pt>
                <c:pt idx="90">
                  <c:v>713</c:v>
                </c:pt>
                <c:pt idx="91">
                  <c:v>813</c:v>
                </c:pt>
                <c:pt idx="92">
                  <c:v>913</c:v>
                </c:pt>
                <c:pt idx="93">
                  <c:v>1013</c:v>
                </c:pt>
                <c:pt idx="94">
                  <c:v>1113</c:v>
                </c:pt>
                <c:pt idx="95">
                  <c:v>1213</c:v>
                </c:pt>
                <c:pt idx="96">
                  <c:v>114</c:v>
                </c:pt>
                <c:pt idx="97">
                  <c:v>214</c:v>
                </c:pt>
                <c:pt idx="98">
                  <c:v>314</c:v>
                </c:pt>
                <c:pt idx="99">
                  <c:v>414</c:v>
                </c:pt>
                <c:pt idx="100">
                  <c:v>514</c:v>
                </c:pt>
                <c:pt idx="101">
                  <c:v>614</c:v>
                </c:pt>
                <c:pt idx="102">
                  <c:v>714</c:v>
                </c:pt>
                <c:pt idx="103">
                  <c:v>814</c:v>
                </c:pt>
                <c:pt idx="104">
                  <c:v>914</c:v>
                </c:pt>
                <c:pt idx="105">
                  <c:v>1014</c:v>
                </c:pt>
                <c:pt idx="106">
                  <c:v>1114</c:v>
                </c:pt>
                <c:pt idx="107">
                  <c:v>1214</c:v>
                </c:pt>
                <c:pt idx="108">
                  <c:v>115</c:v>
                </c:pt>
                <c:pt idx="109">
                  <c:v>215</c:v>
                </c:pt>
                <c:pt idx="110">
                  <c:v>315</c:v>
                </c:pt>
                <c:pt idx="111">
                  <c:v>415</c:v>
                </c:pt>
                <c:pt idx="112">
                  <c:v>515</c:v>
                </c:pt>
                <c:pt idx="113">
                  <c:v>615</c:v>
                </c:pt>
                <c:pt idx="114">
                  <c:v>715</c:v>
                </c:pt>
                <c:pt idx="115">
                  <c:v>815</c:v>
                </c:pt>
                <c:pt idx="116">
                  <c:v>915</c:v>
                </c:pt>
                <c:pt idx="117">
                  <c:v>1015</c:v>
                </c:pt>
                <c:pt idx="118">
                  <c:v>1115</c:v>
                </c:pt>
                <c:pt idx="119">
                  <c:v>1215</c:v>
                </c:pt>
                <c:pt idx="120">
                  <c:v>116</c:v>
                </c:pt>
                <c:pt idx="121">
                  <c:v>216</c:v>
                </c:pt>
                <c:pt idx="122">
                  <c:v>316</c:v>
                </c:pt>
                <c:pt idx="123">
                  <c:v>416</c:v>
                </c:pt>
                <c:pt idx="124">
                  <c:v>516</c:v>
                </c:pt>
                <c:pt idx="125">
                  <c:v>616</c:v>
                </c:pt>
                <c:pt idx="126">
                  <c:v>716</c:v>
                </c:pt>
                <c:pt idx="127">
                  <c:v>816</c:v>
                </c:pt>
                <c:pt idx="128">
                  <c:v>916</c:v>
                </c:pt>
                <c:pt idx="129">
                  <c:v>1016</c:v>
                </c:pt>
                <c:pt idx="130">
                  <c:v>1116</c:v>
                </c:pt>
                <c:pt idx="131">
                  <c:v>1216</c:v>
                </c:pt>
                <c:pt idx="132">
                  <c:v>117</c:v>
                </c:pt>
                <c:pt idx="133">
                  <c:v>217</c:v>
                </c:pt>
                <c:pt idx="134">
                  <c:v>317</c:v>
                </c:pt>
                <c:pt idx="135">
                  <c:v>417</c:v>
                </c:pt>
                <c:pt idx="136">
                  <c:v>517</c:v>
                </c:pt>
                <c:pt idx="137">
                  <c:v>617</c:v>
                </c:pt>
                <c:pt idx="138">
                  <c:v>717</c:v>
                </c:pt>
                <c:pt idx="139">
                  <c:v>817</c:v>
                </c:pt>
                <c:pt idx="140">
                  <c:v>917</c:v>
                </c:pt>
                <c:pt idx="141">
                  <c:v>1017</c:v>
                </c:pt>
                <c:pt idx="142">
                  <c:v>1117</c:v>
                </c:pt>
                <c:pt idx="143">
                  <c:v>1217</c:v>
                </c:pt>
                <c:pt idx="144">
                  <c:v>118</c:v>
                </c:pt>
                <c:pt idx="145">
                  <c:v>218</c:v>
                </c:pt>
                <c:pt idx="146">
                  <c:v>318</c:v>
                </c:pt>
                <c:pt idx="147">
                  <c:v>418</c:v>
                </c:pt>
                <c:pt idx="148">
                  <c:v>518</c:v>
                </c:pt>
                <c:pt idx="149">
                  <c:v>618</c:v>
                </c:pt>
                <c:pt idx="150">
                  <c:v>718</c:v>
                </c:pt>
                <c:pt idx="151">
                  <c:v>818</c:v>
                </c:pt>
                <c:pt idx="152">
                  <c:v>918</c:v>
                </c:pt>
                <c:pt idx="153">
                  <c:v>1018</c:v>
                </c:pt>
                <c:pt idx="154">
                  <c:v>1118</c:v>
                </c:pt>
                <c:pt idx="155">
                  <c:v>1218</c:v>
                </c:pt>
                <c:pt idx="156">
                  <c:v>119</c:v>
                </c:pt>
                <c:pt idx="157">
                  <c:v>219</c:v>
                </c:pt>
                <c:pt idx="158">
                  <c:v>319</c:v>
                </c:pt>
                <c:pt idx="159">
                  <c:v>419</c:v>
                </c:pt>
                <c:pt idx="160">
                  <c:v>519</c:v>
                </c:pt>
                <c:pt idx="161">
                  <c:v>619</c:v>
                </c:pt>
                <c:pt idx="162">
                  <c:v>719</c:v>
                </c:pt>
                <c:pt idx="163">
                  <c:v>819</c:v>
                </c:pt>
                <c:pt idx="164">
                  <c:v>919</c:v>
                </c:pt>
                <c:pt idx="165">
                  <c:v>1019</c:v>
                </c:pt>
                <c:pt idx="166">
                  <c:v>1119</c:v>
                </c:pt>
                <c:pt idx="167">
                  <c:v>1219</c:v>
                </c:pt>
                <c:pt idx="168">
                  <c:v>120</c:v>
                </c:pt>
                <c:pt idx="169">
                  <c:v>220</c:v>
                </c:pt>
                <c:pt idx="170">
                  <c:v>320</c:v>
                </c:pt>
                <c:pt idx="171">
                  <c:v>420</c:v>
                </c:pt>
                <c:pt idx="172">
                  <c:v>520</c:v>
                </c:pt>
              </c:numCache>
            </c:numRef>
          </c:cat>
          <c:val>
            <c:numRef>
              <c:f>Datapork!$G$2:$G$174</c:f>
              <c:numCache>
                <c:formatCode>General</c:formatCode>
                <c:ptCount val="173"/>
                <c:pt idx="0">
                  <c:v>41.311999999999998</c:v>
                </c:pt>
                <c:pt idx="1">
                  <c:v>39.029000000000003</c:v>
                </c:pt>
                <c:pt idx="2">
                  <c:v>37.573999999999998</c:v>
                </c:pt>
                <c:pt idx="3">
                  <c:v>38.103999999999999</c:v>
                </c:pt>
                <c:pt idx="4">
                  <c:v>38.755000000000003</c:v>
                </c:pt>
                <c:pt idx="5">
                  <c:v>40.119999999999997</c:v>
                </c:pt>
                <c:pt idx="6">
                  <c:v>42.66</c:v>
                </c:pt>
                <c:pt idx="7">
                  <c:v>44.042999999999999</c:v>
                </c:pt>
                <c:pt idx="8">
                  <c:v>45.192999999999998</c:v>
                </c:pt>
                <c:pt idx="9">
                  <c:v>43.572000000000003</c:v>
                </c:pt>
                <c:pt idx="10">
                  <c:v>40.435000000000002</c:v>
                </c:pt>
                <c:pt idx="11">
                  <c:v>38.332999999999998</c:v>
                </c:pt>
                <c:pt idx="12">
                  <c:v>37.314999999999998</c:v>
                </c:pt>
                <c:pt idx="13">
                  <c:v>35.609000000000002</c:v>
                </c:pt>
                <c:pt idx="14">
                  <c:v>34.133000000000003</c:v>
                </c:pt>
                <c:pt idx="15">
                  <c:v>34.103999999999999</c:v>
                </c:pt>
                <c:pt idx="16">
                  <c:v>34.878</c:v>
                </c:pt>
                <c:pt idx="17">
                  <c:v>37.088000000000001</c:v>
                </c:pt>
                <c:pt idx="18">
                  <c:v>40.061999999999998</c:v>
                </c:pt>
                <c:pt idx="19">
                  <c:v>42.664000000000001</c:v>
                </c:pt>
                <c:pt idx="20">
                  <c:v>42.872</c:v>
                </c:pt>
                <c:pt idx="21">
                  <c:v>40.216000000000001</c:v>
                </c:pt>
                <c:pt idx="22">
                  <c:v>36.436999999999998</c:v>
                </c:pt>
                <c:pt idx="23">
                  <c:v>36.067</c:v>
                </c:pt>
                <c:pt idx="24">
                  <c:v>36.454999999999998</c:v>
                </c:pt>
                <c:pt idx="25">
                  <c:v>34.606999999999999</c:v>
                </c:pt>
                <c:pt idx="26">
                  <c:v>34.118000000000002</c:v>
                </c:pt>
                <c:pt idx="27">
                  <c:v>36.814999999999998</c:v>
                </c:pt>
                <c:pt idx="28">
                  <c:v>38.372999999999998</c:v>
                </c:pt>
                <c:pt idx="29">
                  <c:v>42.363</c:v>
                </c:pt>
                <c:pt idx="30">
                  <c:v>42.387</c:v>
                </c:pt>
                <c:pt idx="31">
                  <c:v>42.042999999999999</c:v>
                </c:pt>
                <c:pt idx="32">
                  <c:v>43.125</c:v>
                </c:pt>
                <c:pt idx="33">
                  <c:v>42.975999999999999</c:v>
                </c:pt>
                <c:pt idx="34">
                  <c:v>39.929000000000002</c:v>
                </c:pt>
                <c:pt idx="35">
                  <c:v>38.994999999999997</c:v>
                </c:pt>
                <c:pt idx="36">
                  <c:v>38.424999999999997</c:v>
                </c:pt>
                <c:pt idx="37">
                  <c:v>37.335000000000001</c:v>
                </c:pt>
                <c:pt idx="38">
                  <c:v>37.634</c:v>
                </c:pt>
                <c:pt idx="39">
                  <c:v>39.244999999999997</c:v>
                </c:pt>
                <c:pt idx="40">
                  <c:v>39.64</c:v>
                </c:pt>
                <c:pt idx="41">
                  <c:v>40.893999999999998</c:v>
                </c:pt>
                <c:pt idx="42">
                  <c:v>41.695</c:v>
                </c:pt>
                <c:pt idx="43">
                  <c:v>40.786000000000001</c:v>
                </c:pt>
                <c:pt idx="44">
                  <c:v>40.048000000000002</c:v>
                </c:pt>
                <c:pt idx="45">
                  <c:v>38.402999999999999</c:v>
                </c:pt>
                <c:pt idx="46">
                  <c:v>35.521999999999998</c:v>
                </c:pt>
                <c:pt idx="47">
                  <c:v>34.533000000000001</c:v>
                </c:pt>
                <c:pt idx="48">
                  <c:v>34.302999999999997</c:v>
                </c:pt>
                <c:pt idx="49">
                  <c:v>33.460999999999999</c:v>
                </c:pt>
                <c:pt idx="50">
                  <c:v>32.981999999999999</c:v>
                </c:pt>
                <c:pt idx="51">
                  <c:v>33.53</c:v>
                </c:pt>
                <c:pt idx="52">
                  <c:v>34.017000000000003</c:v>
                </c:pt>
                <c:pt idx="53">
                  <c:v>36.466000000000001</c:v>
                </c:pt>
                <c:pt idx="54">
                  <c:v>38.009</c:v>
                </c:pt>
                <c:pt idx="55">
                  <c:v>37.247</c:v>
                </c:pt>
                <c:pt idx="56">
                  <c:v>36.517000000000003</c:v>
                </c:pt>
                <c:pt idx="57">
                  <c:v>35.612000000000002</c:v>
                </c:pt>
                <c:pt idx="58">
                  <c:v>34.390999999999998</c:v>
                </c:pt>
                <c:pt idx="59">
                  <c:v>34.353000000000002</c:v>
                </c:pt>
                <c:pt idx="60">
                  <c:v>33.786000000000001</c:v>
                </c:pt>
                <c:pt idx="61">
                  <c:v>33.603999999999999</c:v>
                </c:pt>
                <c:pt idx="62">
                  <c:v>33.982999999999997</c:v>
                </c:pt>
                <c:pt idx="63">
                  <c:v>35.375999999999998</c:v>
                </c:pt>
                <c:pt idx="64">
                  <c:v>37.409999999999997</c:v>
                </c:pt>
                <c:pt idx="65">
                  <c:v>37.331000000000003</c:v>
                </c:pt>
                <c:pt idx="66">
                  <c:v>37.783999999999999</c:v>
                </c:pt>
                <c:pt idx="67">
                  <c:v>38.497</c:v>
                </c:pt>
                <c:pt idx="68">
                  <c:v>37.54</c:v>
                </c:pt>
                <c:pt idx="69">
                  <c:v>37.576999999999998</c:v>
                </c:pt>
                <c:pt idx="70">
                  <c:v>38.951000000000001</c:v>
                </c:pt>
                <c:pt idx="71">
                  <c:v>40.223999999999997</c:v>
                </c:pt>
                <c:pt idx="72">
                  <c:v>41.143000000000001</c:v>
                </c:pt>
                <c:pt idx="73">
                  <c:v>39.826000000000001</c:v>
                </c:pt>
                <c:pt idx="74">
                  <c:v>40.283000000000001</c:v>
                </c:pt>
                <c:pt idx="75">
                  <c:v>41.122999999999998</c:v>
                </c:pt>
                <c:pt idx="76">
                  <c:v>42.098999999999997</c:v>
                </c:pt>
                <c:pt idx="77">
                  <c:v>42.07</c:v>
                </c:pt>
                <c:pt idx="78">
                  <c:v>42.234000000000002</c:v>
                </c:pt>
                <c:pt idx="79">
                  <c:v>42.146000000000001</c:v>
                </c:pt>
                <c:pt idx="80">
                  <c:v>44.311999999999998</c:v>
                </c:pt>
                <c:pt idx="81">
                  <c:v>46.401000000000003</c:v>
                </c:pt>
                <c:pt idx="82">
                  <c:v>46.356000000000002</c:v>
                </c:pt>
                <c:pt idx="83">
                  <c:v>45.347999999999999</c:v>
                </c:pt>
                <c:pt idx="84">
                  <c:v>43.792999999999999</c:v>
                </c:pt>
                <c:pt idx="85">
                  <c:v>41.533999999999999</c:v>
                </c:pt>
                <c:pt idx="86">
                  <c:v>40.453000000000003</c:v>
                </c:pt>
                <c:pt idx="87">
                  <c:v>40.883000000000003</c:v>
                </c:pt>
                <c:pt idx="88">
                  <c:v>41.024999999999999</c:v>
                </c:pt>
                <c:pt idx="89">
                  <c:v>41.805999999999997</c:v>
                </c:pt>
                <c:pt idx="90">
                  <c:v>43.636000000000003</c:v>
                </c:pt>
                <c:pt idx="91">
                  <c:v>45.072000000000003</c:v>
                </c:pt>
                <c:pt idx="92">
                  <c:v>46.805999999999997</c:v>
                </c:pt>
                <c:pt idx="93">
                  <c:v>46.537999999999997</c:v>
                </c:pt>
                <c:pt idx="94">
                  <c:v>46.061999999999998</c:v>
                </c:pt>
                <c:pt idx="95">
                  <c:v>45.487000000000002</c:v>
                </c:pt>
                <c:pt idx="96">
                  <c:v>44.429000000000002</c:v>
                </c:pt>
                <c:pt idx="97">
                  <c:v>42.76</c:v>
                </c:pt>
                <c:pt idx="98">
                  <c:v>41.866999999999997</c:v>
                </c:pt>
                <c:pt idx="99">
                  <c:v>41.808</c:v>
                </c:pt>
                <c:pt idx="100">
                  <c:v>42.567</c:v>
                </c:pt>
                <c:pt idx="101">
                  <c:v>43.500999999999998</c:v>
                </c:pt>
                <c:pt idx="102">
                  <c:v>46.222999999999999</c:v>
                </c:pt>
                <c:pt idx="103">
                  <c:v>45.731000000000002</c:v>
                </c:pt>
                <c:pt idx="104">
                  <c:v>44.533000000000001</c:v>
                </c:pt>
                <c:pt idx="105">
                  <c:v>42.99</c:v>
                </c:pt>
                <c:pt idx="106">
                  <c:v>40.441000000000003</c:v>
                </c:pt>
                <c:pt idx="107">
                  <c:v>39.765000000000001</c:v>
                </c:pt>
                <c:pt idx="108">
                  <c:v>39.048000000000002</c:v>
                </c:pt>
                <c:pt idx="109">
                  <c:v>37.603000000000002</c:v>
                </c:pt>
                <c:pt idx="110">
                  <c:v>37.595999999999997</c:v>
                </c:pt>
                <c:pt idx="111">
                  <c:v>37.643000000000001</c:v>
                </c:pt>
                <c:pt idx="112">
                  <c:v>37.238999999999997</c:v>
                </c:pt>
                <c:pt idx="113">
                  <c:v>37.832999999999998</c:v>
                </c:pt>
                <c:pt idx="114">
                  <c:v>38.689</c:v>
                </c:pt>
                <c:pt idx="115">
                  <c:v>38.578000000000003</c:v>
                </c:pt>
                <c:pt idx="116">
                  <c:v>38.338999999999999</c:v>
                </c:pt>
                <c:pt idx="117">
                  <c:v>38.555</c:v>
                </c:pt>
                <c:pt idx="118">
                  <c:v>37.56</c:v>
                </c:pt>
                <c:pt idx="119">
                  <c:v>35.655999999999999</c:v>
                </c:pt>
                <c:pt idx="120">
                  <c:v>35.456000000000003</c:v>
                </c:pt>
                <c:pt idx="121">
                  <c:v>33.862000000000002</c:v>
                </c:pt>
                <c:pt idx="122">
                  <c:v>33.482999999999997</c:v>
                </c:pt>
                <c:pt idx="123">
                  <c:v>32.939</c:v>
                </c:pt>
                <c:pt idx="124">
                  <c:v>33.417000000000002</c:v>
                </c:pt>
                <c:pt idx="125">
                  <c:v>36</c:v>
                </c:pt>
                <c:pt idx="126">
                  <c:v>39.969000000000001</c:v>
                </c:pt>
                <c:pt idx="127">
                  <c:v>41.162999999999997</c:v>
                </c:pt>
                <c:pt idx="128">
                  <c:v>41.521999999999998</c:v>
                </c:pt>
                <c:pt idx="129">
                  <c:v>43.265000000000001</c:v>
                </c:pt>
                <c:pt idx="130">
                  <c:v>41.523000000000003</c:v>
                </c:pt>
                <c:pt idx="131">
                  <c:v>40.936</c:v>
                </c:pt>
                <c:pt idx="132">
                  <c:v>40.756999999999998</c:v>
                </c:pt>
                <c:pt idx="133">
                  <c:v>40.255000000000003</c:v>
                </c:pt>
                <c:pt idx="134">
                  <c:v>39.978000000000002</c:v>
                </c:pt>
                <c:pt idx="135">
                  <c:v>41.354999999999997</c:v>
                </c:pt>
                <c:pt idx="136">
                  <c:v>42.661000000000001</c:v>
                </c:pt>
                <c:pt idx="137">
                  <c:v>44.332999999999998</c:v>
                </c:pt>
                <c:pt idx="138">
                  <c:v>45.09</c:v>
                </c:pt>
                <c:pt idx="139">
                  <c:v>43.777999999999999</c:v>
                </c:pt>
                <c:pt idx="140">
                  <c:v>42.682000000000002</c:v>
                </c:pt>
                <c:pt idx="141">
                  <c:v>41.363</c:v>
                </c:pt>
                <c:pt idx="142">
                  <c:v>39.319000000000003</c:v>
                </c:pt>
                <c:pt idx="143">
                  <c:v>37.448</c:v>
                </c:pt>
                <c:pt idx="144">
                  <c:v>35.573</c:v>
                </c:pt>
                <c:pt idx="145">
                  <c:v>33.988</c:v>
                </c:pt>
                <c:pt idx="146">
                  <c:v>34.615000000000002</c:v>
                </c:pt>
                <c:pt idx="147">
                  <c:v>34.722999999999999</c:v>
                </c:pt>
                <c:pt idx="148">
                  <c:v>33.860999999999997</c:v>
                </c:pt>
                <c:pt idx="149">
                  <c:v>34.118000000000002</c:v>
                </c:pt>
                <c:pt idx="150">
                  <c:v>34.957000000000001</c:v>
                </c:pt>
                <c:pt idx="151">
                  <c:v>35.353000000000002</c:v>
                </c:pt>
                <c:pt idx="152">
                  <c:v>36.454000000000001</c:v>
                </c:pt>
                <c:pt idx="153">
                  <c:v>35.384</c:v>
                </c:pt>
                <c:pt idx="154">
                  <c:v>34.453000000000003</c:v>
                </c:pt>
                <c:pt idx="155">
                  <c:v>34.292999999999999</c:v>
                </c:pt>
                <c:pt idx="156">
                  <c:v>34.341999999999999</c:v>
                </c:pt>
                <c:pt idx="157">
                  <c:v>33.768999999999998</c:v>
                </c:pt>
                <c:pt idx="158">
                  <c:v>33.863999999999997</c:v>
                </c:pt>
                <c:pt idx="159">
                  <c:v>36.442999999999998</c:v>
                </c:pt>
                <c:pt idx="160">
                  <c:v>39.357999999999997</c:v>
                </c:pt>
                <c:pt idx="161">
                  <c:v>42.404000000000003</c:v>
                </c:pt>
                <c:pt idx="162">
                  <c:v>43.731999999999999</c:v>
                </c:pt>
                <c:pt idx="163">
                  <c:v>43.835999999999999</c:v>
                </c:pt>
                <c:pt idx="164">
                  <c:v>44.905000000000001</c:v>
                </c:pt>
                <c:pt idx="165">
                  <c:v>45.341999999999999</c:v>
                </c:pt>
                <c:pt idx="166">
                  <c:v>45.323</c:v>
                </c:pt>
                <c:pt idx="167">
                  <c:v>47.481000000000002</c:v>
                </c:pt>
                <c:pt idx="168">
                  <c:v>48.645000000000003</c:v>
                </c:pt>
                <c:pt idx="169">
                  <c:v>46.625</c:v>
                </c:pt>
                <c:pt idx="170">
                  <c:v>46.518999999999998</c:v>
                </c:pt>
                <c:pt idx="171">
                  <c:v>46.759</c:v>
                </c:pt>
                <c:pt idx="172">
                  <c:v>44.417000000000002</c:v>
                </c:pt>
              </c:numCache>
            </c:numRef>
          </c:val>
          <c:smooth val="0"/>
          <c:extLst>
            <c:ext xmlns:c16="http://schemas.microsoft.com/office/drawing/2014/chart" uri="{C3380CC4-5D6E-409C-BE32-E72D297353CC}">
              <c16:uniqueId val="{00000001-35FD-2348-90EA-152E264E0D20}"/>
            </c:ext>
          </c:extLst>
        </c:ser>
        <c:ser>
          <c:idx val="1"/>
          <c:order val="1"/>
          <c:tx>
            <c:strRef>
              <c:f>Datapork!$Z$12</c:f>
              <c:strCache>
                <c:ptCount val="1"/>
                <c:pt idx="0">
                  <c:v>Vepřová kýta CPV</c:v>
                </c:pt>
              </c:strCache>
            </c:strRef>
          </c:tx>
          <c:spPr>
            <a:ln w="19050">
              <a:solidFill>
                <a:srgbClr val="993300"/>
              </a:solidFill>
              <a:prstDash val="solid"/>
            </a:ln>
          </c:spPr>
          <c:marker>
            <c:symbol val="none"/>
          </c:marker>
          <c:trendline>
            <c:spPr>
              <a:ln w="3175">
                <a:solidFill>
                  <a:srgbClr val="000000"/>
                </a:solidFill>
                <a:prstDash val="solid"/>
              </a:ln>
            </c:spPr>
            <c:trendlineType val="linear"/>
            <c:dispRSqr val="1"/>
            <c:dispEq val="0"/>
            <c:trendlineLbl>
              <c:layout>
                <c:manualLayout>
                  <c:x val="1.0339510101653016E-2"/>
                  <c:y val="-6.8709221804790721E-2"/>
                </c:manualLayout>
              </c:layout>
              <c:numFmt formatCode="General" sourceLinked="0"/>
              <c:spPr>
                <a:noFill/>
                <a:ln w="25400">
                  <a:noFill/>
                </a:ln>
              </c:spPr>
              <c:txPr>
                <a:bodyPr/>
                <a:lstStyle/>
                <a:p>
                  <a:pPr>
                    <a:defRPr sz="1000" b="0" i="0" u="none" strike="noStrike" baseline="0">
                      <a:solidFill>
                        <a:srgbClr val="000000"/>
                      </a:solidFill>
                      <a:latin typeface="Calibri"/>
                      <a:ea typeface="Calibri"/>
                      <a:cs typeface="Calibri"/>
                    </a:defRPr>
                  </a:pPr>
                  <a:endParaRPr lang="cs-CZ"/>
                </a:p>
              </c:txPr>
            </c:trendlineLbl>
          </c:trendline>
          <c:cat>
            <c:numRef>
              <c:f>Datapork!$A$2:$A$174</c:f>
              <c:numCache>
                <c:formatCode>General</c:formatCode>
                <c:ptCount val="173"/>
                <c:pt idx="0">
                  <c:v>106</c:v>
                </c:pt>
                <c:pt idx="1">
                  <c:v>206</c:v>
                </c:pt>
                <c:pt idx="2">
                  <c:v>306</c:v>
                </c:pt>
                <c:pt idx="3">
                  <c:v>406</c:v>
                </c:pt>
                <c:pt idx="4">
                  <c:v>506</c:v>
                </c:pt>
                <c:pt idx="5">
                  <c:v>606</c:v>
                </c:pt>
                <c:pt idx="6">
                  <c:v>706</c:v>
                </c:pt>
                <c:pt idx="7">
                  <c:v>806</c:v>
                </c:pt>
                <c:pt idx="8">
                  <c:v>906</c:v>
                </c:pt>
                <c:pt idx="9">
                  <c:v>1006</c:v>
                </c:pt>
                <c:pt idx="10">
                  <c:v>1106</c:v>
                </c:pt>
                <c:pt idx="11">
                  <c:v>1206</c:v>
                </c:pt>
                <c:pt idx="12">
                  <c:v>107</c:v>
                </c:pt>
                <c:pt idx="13">
                  <c:v>207</c:v>
                </c:pt>
                <c:pt idx="14">
                  <c:v>307</c:v>
                </c:pt>
                <c:pt idx="15">
                  <c:v>407</c:v>
                </c:pt>
                <c:pt idx="16">
                  <c:v>507</c:v>
                </c:pt>
                <c:pt idx="17">
                  <c:v>607</c:v>
                </c:pt>
                <c:pt idx="18">
                  <c:v>707</c:v>
                </c:pt>
                <c:pt idx="19">
                  <c:v>807</c:v>
                </c:pt>
                <c:pt idx="20">
                  <c:v>907</c:v>
                </c:pt>
                <c:pt idx="21">
                  <c:v>1007</c:v>
                </c:pt>
                <c:pt idx="22">
                  <c:v>1107</c:v>
                </c:pt>
                <c:pt idx="23">
                  <c:v>1207</c:v>
                </c:pt>
                <c:pt idx="24">
                  <c:v>108</c:v>
                </c:pt>
                <c:pt idx="25">
                  <c:v>208</c:v>
                </c:pt>
                <c:pt idx="26">
                  <c:v>308</c:v>
                </c:pt>
                <c:pt idx="27">
                  <c:v>408</c:v>
                </c:pt>
                <c:pt idx="28">
                  <c:v>508</c:v>
                </c:pt>
                <c:pt idx="29">
                  <c:v>608</c:v>
                </c:pt>
                <c:pt idx="30">
                  <c:v>708</c:v>
                </c:pt>
                <c:pt idx="31">
                  <c:v>808</c:v>
                </c:pt>
                <c:pt idx="32">
                  <c:v>908</c:v>
                </c:pt>
                <c:pt idx="33">
                  <c:v>1008</c:v>
                </c:pt>
                <c:pt idx="34">
                  <c:v>1108</c:v>
                </c:pt>
                <c:pt idx="35">
                  <c:v>1208</c:v>
                </c:pt>
                <c:pt idx="36">
                  <c:v>109</c:v>
                </c:pt>
                <c:pt idx="37">
                  <c:v>209</c:v>
                </c:pt>
                <c:pt idx="38">
                  <c:v>309</c:v>
                </c:pt>
                <c:pt idx="39">
                  <c:v>409</c:v>
                </c:pt>
                <c:pt idx="40">
                  <c:v>509</c:v>
                </c:pt>
                <c:pt idx="41">
                  <c:v>609</c:v>
                </c:pt>
                <c:pt idx="42">
                  <c:v>709</c:v>
                </c:pt>
                <c:pt idx="43">
                  <c:v>809</c:v>
                </c:pt>
                <c:pt idx="44">
                  <c:v>909</c:v>
                </c:pt>
                <c:pt idx="45">
                  <c:v>1009</c:v>
                </c:pt>
                <c:pt idx="46">
                  <c:v>1109</c:v>
                </c:pt>
                <c:pt idx="47">
                  <c:v>1209</c:v>
                </c:pt>
                <c:pt idx="48">
                  <c:v>110</c:v>
                </c:pt>
                <c:pt idx="49">
                  <c:v>210</c:v>
                </c:pt>
                <c:pt idx="50">
                  <c:v>310</c:v>
                </c:pt>
                <c:pt idx="51">
                  <c:v>410</c:v>
                </c:pt>
                <c:pt idx="52">
                  <c:v>510</c:v>
                </c:pt>
                <c:pt idx="53">
                  <c:v>610</c:v>
                </c:pt>
                <c:pt idx="54">
                  <c:v>710</c:v>
                </c:pt>
                <c:pt idx="55">
                  <c:v>810</c:v>
                </c:pt>
                <c:pt idx="56">
                  <c:v>910</c:v>
                </c:pt>
                <c:pt idx="57">
                  <c:v>1010</c:v>
                </c:pt>
                <c:pt idx="58">
                  <c:v>1110</c:v>
                </c:pt>
                <c:pt idx="59">
                  <c:v>1210</c:v>
                </c:pt>
                <c:pt idx="60">
                  <c:v>111</c:v>
                </c:pt>
                <c:pt idx="61">
                  <c:v>211</c:v>
                </c:pt>
                <c:pt idx="62">
                  <c:v>311</c:v>
                </c:pt>
                <c:pt idx="63">
                  <c:v>411</c:v>
                </c:pt>
                <c:pt idx="64">
                  <c:v>511</c:v>
                </c:pt>
                <c:pt idx="65">
                  <c:v>611</c:v>
                </c:pt>
                <c:pt idx="66">
                  <c:v>711</c:v>
                </c:pt>
                <c:pt idx="67">
                  <c:v>811</c:v>
                </c:pt>
                <c:pt idx="68">
                  <c:v>911</c:v>
                </c:pt>
                <c:pt idx="69">
                  <c:v>1011</c:v>
                </c:pt>
                <c:pt idx="70">
                  <c:v>1111</c:v>
                </c:pt>
                <c:pt idx="71">
                  <c:v>1211</c:v>
                </c:pt>
                <c:pt idx="72">
                  <c:v>112</c:v>
                </c:pt>
                <c:pt idx="73">
                  <c:v>212</c:v>
                </c:pt>
                <c:pt idx="74">
                  <c:v>312</c:v>
                </c:pt>
                <c:pt idx="75">
                  <c:v>412</c:v>
                </c:pt>
                <c:pt idx="76">
                  <c:v>512</c:v>
                </c:pt>
                <c:pt idx="77">
                  <c:v>612</c:v>
                </c:pt>
                <c:pt idx="78">
                  <c:v>712</c:v>
                </c:pt>
                <c:pt idx="79">
                  <c:v>812</c:v>
                </c:pt>
                <c:pt idx="80">
                  <c:v>912</c:v>
                </c:pt>
                <c:pt idx="81">
                  <c:v>1012</c:v>
                </c:pt>
                <c:pt idx="82">
                  <c:v>1112</c:v>
                </c:pt>
                <c:pt idx="83">
                  <c:v>1212</c:v>
                </c:pt>
                <c:pt idx="84">
                  <c:v>113</c:v>
                </c:pt>
                <c:pt idx="85">
                  <c:v>213</c:v>
                </c:pt>
                <c:pt idx="86">
                  <c:v>313</c:v>
                </c:pt>
                <c:pt idx="87">
                  <c:v>413</c:v>
                </c:pt>
                <c:pt idx="88">
                  <c:v>513</c:v>
                </c:pt>
                <c:pt idx="89">
                  <c:v>613</c:v>
                </c:pt>
                <c:pt idx="90">
                  <c:v>713</c:v>
                </c:pt>
                <c:pt idx="91">
                  <c:v>813</c:v>
                </c:pt>
                <c:pt idx="92">
                  <c:v>913</c:v>
                </c:pt>
                <c:pt idx="93">
                  <c:v>1013</c:v>
                </c:pt>
                <c:pt idx="94">
                  <c:v>1113</c:v>
                </c:pt>
                <c:pt idx="95">
                  <c:v>1213</c:v>
                </c:pt>
                <c:pt idx="96">
                  <c:v>114</c:v>
                </c:pt>
                <c:pt idx="97">
                  <c:v>214</c:v>
                </c:pt>
                <c:pt idx="98">
                  <c:v>314</c:v>
                </c:pt>
                <c:pt idx="99">
                  <c:v>414</c:v>
                </c:pt>
                <c:pt idx="100">
                  <c:v>514</c:v>
                </c:pt>
                <c:pt idx="101">
                  <c:v>614</c:v>
                </c:pt>
                <c:pt idx="102">
                  <c:v>714</c:v>
                </c:pt>
                <c:pt idx="103">
                  <c:v>814</c:v>
                </c:pt>
                <c:pt idx="104">
                  <c:v>914</c:v>
                </c:pt>
                <c:pt idx="105">
                  <c:v>1014</c:v>
                </c:pt>
                <c:pt idx="106">
                  <c:v>1114</c:v>
                </c:pt>
                <c:pt idx="107">
                  <c:v>1214</c:v>
                </c:pt>
                <c:pt idx="108">
                  <c:v>115</c:v>
                </c:pt>
                <c:pt idx="109">
                  <c:v>215</c:v>
                </c:pt>
                <c:pt idx="110">
                  <c:v>315</c:v>
                </c:pt>
                <c:pt idx="111">
                  <c:v>415</c:v>
                </c:pt>
                <c:pt idx="112">
                  <c:v>515</c:v>
                </c:pt>
                <c:pt idx="113">
                  <c:v>615</c:v>
                </c:pt>
                <c:pt idx="114">
                  <c:v>715</c:v>
                </c:pt>
                <c:pt idx="115">
                  <c:v>815</c:v>
                </c:pt>
                <c:pt idx="116">
                  <c:v>915</c:v>
                </c:pt>
                <c:pt idx="117">
                  <c:v>1015</c:v>
                </c:pt>
                <c:pt idx="118">
                  <c:v>1115</c:v>
                </c:pt>
                <c:pt idx="119">
                  <c:v>1215</c:v>
                </c:pt>
                <c:pt idx="120">
                  <c:v>116</c:v>
                </c:pt>
                <c:pt idx="121">
                  <c:v>216</c:v>
                </c:pt>
                <c:pt idx="122">
                  <c:v>316</c:v>
                </c:pt>
                <c:pt idx="123">
                  <c:v>416</c:v>
                </c:pt>
                <c:pt idx="124">
                  <c:v>516</c:v>
                </c:pt>
                <c:pt idx="125">
                  <c:v>616</c:v>
                </c:pt>
                <c:pt idx="126">
                  <c:v>716</c:v>
                </c:pt>
                <c:pt idx="127">
                  <c:v>816</c:v>
                </c:pt>
                <c:pt idx="128">
                  <c:v>916</c:v>
                </c:pt>
                <c:pt idx="129">
                  <c:v>1016</c:v>
                </c:pt>
                <c:pt idx="130">
                  <c:v>1116</c:v>
                </c:pt>
                <c:pt idx="131">
                  <c:v>1216</c:v>
                </c:pt>
                <c:pt idx="132">
                  <c:v>117</c:v>
                </c:pt>
                <c:pt idx="133">
                  <c:v>217</c:v>
                </c:pt>
                <c:pt idx="134">
                  <c:v>317</c:v>
                </c:pt>
                <c:pt idx="135">
                  <c:v>417</c:v>
                </c:pt>
                <c:pt idx="136">
                  <c:v>517</c:v>
                </c:pt>
                <c:pt idx="137">
                  <c:v>617</c:v>
                </c:pt>
                <c:pt idx="138">
                  <c:v>717</c:v>
                </c:pt>
                <c:pt idx="139">
                  <c:v>817</c:v>
                </c:pt>
                <c:pt idx="140">
                  <c:v>917</c:v>
                </c:pt>
                <c:pt idx="141">
                  <c:v>1017</c:v>
                </c:pt>
                <c:pt idx="142">
                  <c:v>1117</c:v>
                </c:pt>
                <c:pt idx="143">
                  <c:v>1217</c:v>
                </c:pt>
                <c:pt idx="144">
                  <c:v>118</c:v>
                </c:pt>
                <c:pt idx="145">
                  <c:v>218</c:v>
                </c:pt>
                <c:pt idx="146">
                  <c:v>318</c:v>
                </c:pt>
                <c:pt idx="147">
                  <c:v>418</c:v>
                </c:pt>
                <c:pt idx="148">
                  <c:v>518</c:v>
                </c:pt>
                <c:pt idx="149">
                  <c:v>618</c:v>
                </c:pt>
                <c:pt idx="150">
                  <c:v>718</c:v>
                </c:pt>
                <c:pt idx="151">
                  <c:v>818</c:v>
                </c:pt>
                <c:pt idx="152">
                  <c:v>918</c:v>
                </c:pt>
                <c:pt idx="153">
                  <c:v>1018</c:v>
                </c:pt>
                <c:pt idx="154">
                  <c:v>1118</c:v>
                </c:pt>
                <c:pt idx="155">
                  <c:v>1218</c:v>
                </c:pt>
                <c:pt idx="156">
                  <c:v>119</c:v>
                </c:pt>
                <c:pt idx="157">
                  <c:v>219</c:v>
                </c:pt>
                <c:pt idx="158">
                  <c:v>319</c:v>
                </c:pt>
                <c:pt idx="159">
                  <c:v>419</c:v>
                </c:pt>
                <c:pt idx="160">
                  <c:v>519</c:v>
                </c:pt>
                <c:pt idx="161">
                  <c:v>619</c:v>
                </c:pt>
                <c:pt idx="162">
                  <c:v>719</c:v>
                </c:pt>
                <c:pt idx="163">
                  <c:v>819</c:v>
                </c:pt>
                <c:pt idx="164">
                  <c:v>919</c:v>
                </c:pt>
                <c:pt idx="165">
                  <c:v>1019</c:v>
                </c:pt>
                <c:pt idx="166">
                  <c:v>1119</c:v>
                </c:pt>
                <c:pt idx="167">
                  <c:v>1219</c:v>
                </c:pt>
                <c:pt idx="168">
                  <c:v>120</c:v>
                </c:pt>
                <c:pt idx="169">
                  <c:v>220</c:v>
                </c:pt>
                <c:pt idx="170">
                  <c:v>320</c:v>
                </c:pt>
                <c:pt idx="171">
                  <c:v>420</c:v>
                </c:pt>
                <c:pt idx="172">
                  <c:v>520</c:v>
                </c:pt>
              </c:numCache>
            </c:numRef>
          </c:cat>
          <c:val>
            <c:numRef>
              <c:f>Datapork!$C$2:$C$174</c:f>
              <c:numCache>
                <c:formatCode>General</c:formatCode>
                <c:ptCount val="173"/>
                <c:pt idx="0">
                  <c:v>87.21</c:v>
                </c:pt>
                <c:pt idx="1">
                  <c:v>85.58</c:v>
                </c:pt>
                <c:pt idx="2">
                  <c:v>83.48</c:v>
                </c:pt>
                <c:pt idx="3">
                  <c:v>83.82</c:v>
                </c:pt>
                <c:pt idx="4">
                  <c:v>84.74</c:v>
                </c:pt>
                <c:pt idx="5">
                  <c:v>85.09</c:v>
                </c:pt>
                <c:pt idx="6">
                  <c:v>87.54</c:v>
                </c:pt>
                <c:pt idx="7">
                  <c:v>88.62</c:v>
                </c:pt>
                <c:pt idx="8">
                  <c:v>89.64</c:v>
                </c:pt>
                <c:pt idx="9">
                  <c:v>90.25</c:v>
                </c:pt>
                <c:pt idx="10">
                  <c:v>90.18</c:v>
                </c:pt>
                <c:pt idx="11">
                  <c:v>87.63</c:v>
                </c:pt>
                <c:pt idx="12">
                  <c:v>85.9</c:v>
                </c:pt>
                <c:pt idx="13">
                  <c:v>83.87</c:v>
                </c:pt>
                <c:pt idx="14">
                  <c:v>82.82</c:v>
                </c:pt>
                <c:pt idx="15">
                  <c:v>82.33</c:v>
                </c:pt>
                <c:pt idx="16">
                  <c:v>82.19</c:v>
                </c:pt>
                <c:pt idx="17">
                  <c:v>83.22</c:v>
                </c:pt>
                <c:pt idx="18">
                  <c:v>84.83</c:v>
                </c:pt>
                <c:pt idx="19">
                  <c:v>87.75</c:v>
                </c:pt>
                <c:pt idx="20">
                  <c:v>88.05</c:v>
                </c:pt>
                <c:pt idx="21">
                  <c:v>87.72</c:v>
                </c:pt>
                <c:pt idx="22">
                  <c:v>85.12</c:v>
                </c:pt>
                <c:pt idx="23">
                  <c:v>85.08</c:v>
                </c:pt>
                <c:pt idx="24">
                  <c:v>83.62</c:v>
                </c:pt>
                <c:pt idx="25">
                  <c:v>81.459999999999994</c:v>
                </c:pt>
                <c:pt idx="26">
                  <c:v>81.03</c:v>
                </c:pt>
                <c:pt idx="27">
                  <c:v>81.38</c:v>
                </c:pt>
                <c:pt idx="28">
                  <c:v>82.84</c:v>
                </c:pt>
                <c:pt idx="29">
                  <c:v>84.19</c:v>
                </c:pt>
                <c:pt idx="30">
                  <c:v>84.52</c:v>
                </c:pt>
                <c:pt idx="31">
                  <c:v>84.25</c:v>
                </c:pt>
                <c:pt idx="32">
                  <c:v>83.84</c:v>
                </c:pt>
                <c:pt idx="33">
                  <c:v>85.12</c:v>
                </c:pt>
                <c:pt idx="34">
                  <c:v>80.27</c:v>
                </c:pt>
                <c:pt idx="35">
                  <c:v>79.849999999999994</c:v>
                </c:pt>
                <c:pt idx="36">
                  <c:v>80.34</c:v>
                </c:pt>
                <c:pt idx="37">
                  <c:v>78.89</c:v>
                </c:pt>
                <c:pt idx="38">
                  <c:v>78.77</c:v>
                </c:pt>
                <c:pt idx="39">
                  <c:v>79.38</c:v>
                </c:pt>
                <c:pt idx="40">
                  <c:v>79.83</c:v>
                </c:pt>
                <c:pt idx="41">
                  <c:v>80.17</c:v>
                </c:pt>
                <c:pt idx="42">
                  <c:v>80.459999999999994</c:v>
                </c:pt>
                <c:pt idx="43">
                  <c:v>79.5</c:v>
                </c:pt>
                <c:pt idx="44">
                  <c:v>79.22</c:v>
                </c:pt>
                <c:pt idx="45">
                  <c:v>77.959999999999994</c:v>
                </c:pt>
                <c:pt idx="46">
                  <c:v>74.94</c:v>
                </c:pt>
                <c:pt idx="47">
                  <c:v>74.08</c:v>
                </c:pt>
                <c:pt idx="48">
                  <c:v>73.97</c:v>
                </c:pt>
                <c:pt idx="49">
                  <c:v>72.09</c:v>
                </c:pt>
                <c:pt idx="50">
                  <c:v>72.19</c:v>
                </c:pt>
                <c:pt idx="51">
                  <c:v>71.77</c:v>
                </c:pt>
                <c:pt idx="52">
                  <c:v>71.03</c:v>
                </c:pt>
                <c:pt idx="53">
                  <c:v>72.459999999999994</c:v>
                </c:pt>
                <c:pt idx="54">
                  <c:v>74.34</c:v>
                </c:pt>
                <c:pt idx="55">
                  <c:v>73.72</c:v>
                </c:pt>
                <c:pt idx="56">
                  <c:v>74.98</c:v>
                </c:pt>
                <c:pt idx="57">
                  <c:v>72.22</c:v>
                </c:pt>
                <c:pt idx="58">
                  <c:v>72.06</c:v>
                </c:pt>
                <c:pt idx="59">
                  <c:v>71.94</c:v>
                </c:pt>
                <c:pt idx="60">
                  <c:v>73.44</c:v>
                </c:pt>
                <c:pt idx="61">
                  <c:v>70.959999999999994</c:v>
                </c:pt>
                <c:pt idx="62">
                  <c:v>71.84</c:v>
                </c:pt>
                <c:pt idx="63">
                  <c:v>73.349999999999994</c:v>
                </c:pt>
                <c:pt idx="64">
                  <c:v>74.11</c:v>
                </c:pt>
                <c:pt idx="65">
                  <c:v>74.319999999999993</c:v>
                </c:pt>
                <c:pt idx="66">
                  <c:v>73.89</c:v>
                </c:pt>
                <c:pt idx="67">
                  <c:v>73.11</c:v>
                </c:pt>
                <c:pt idx="68">
                  <c:v>73.819999999999993</c:v>
                </c:pt>
                <c:pt idx="69">
                  <c:v>71.66</c:v>
                </c:pt>
                <c:pt idx="70">
                  <c:v>74.959999999999994</c:v>
                </c:pt>
                <c:pt idx="71">
                  <c:v>76.38</c:v>
                </c:pt>
                <c:pt idx="72">
                  <c:v>75.930000000000007</c:v>
                </c:pt>
                <c:pt idx="73">
                  <c:v>77.680000000000007</c:v>
                </c:pt>
                <c:pt idx="74">
                  <c:v>76.180000000000007</c:v>
                </c:pt>
                <c:pt idx="75">
                  <c:v>75.08</c:v>
                </c:pt>
                <c:pt idx="76">
                  <c:v>75.63</c:v>
                </c:pt>
                <c:pt idx="77">
                  <c:v>76.52</c:v>
                </c:pt>
                <c:pt idx="78">
                  <c:v>76.53</c:v>
                </c:pt>
                <c:pt idx="79">
                  <c:v>76.819999999999993</c:v>
                </c:pt>
                <c:pt idx="80">
                  <c:v>79.069999999999993</c:v>
                </c:pt>
                <c:pt idx="81">
                  <c:v>82.01</c:v>
                </c:pt>
                <c:pt idx="82">
                  <c:v>82.66</c:v>
                </c:pt>
                <c:pt idx="83">
                  <c:v>81.040000000000006</c:v>
                </c:pt>
                <c:pt idx="84">
                  <c:v>81.93</c:v>
                </c:pt>
                <c:pt idx="85">
                  <c:v>80.819999999999993</c:v>
                </c:pt>
                <c:pt idx="86">
                  <c:v>78.52</c:v>
                </c:pt>
                <c:pt idx="87">
                  <c:v>77.83</c:v>
                </c:pt>
                <c:pt idx="88">
                  <c:v>79.22</c:v>
                </c:pt>
                <c:pt idx="89">
                  <c:v>79.75</c:v>
                </c:pt>
                <c:pt idx="90">
                  <c:v>80.41</c:v>
                </c:pt>
                <c:pt idx="91">
                  <c:v>82.41</c:v>
                </c:pt>
                <c:pt idx="92">
                  <c:v>85.27</c:v>
                </c:pt>
                <c:pt idx="93">
                  <c:v>85.74</c:v>
                </c:pt>
                <c:pt idx="94">
                  <c:v>86.86</c:v>
                </c:pt>
                <c:pt idx="95">
                  <c:v>87.17</c:v>
                </c:pt>
                <c:pt idx="96">
                  <c:v>88.06</c:v>
                </c:pt>
                <c:pt idx="97">
                  <c:v>87.51</c:v>
                </c:pt>
                <c:pt idx="98">
                  <c:v>85</c:v>
                </c:pt>
                <c:pt idx="99">
                  <c:v>84.99</c:v>
                </c:pt>
                <c:pt idx="100">
                  <c:v>84.86</c:v>
                </c:pt>
                <c:pt idx="101">
                  <c:v>86.32</c:v>
                </c:pt>
                <c:pt idx="102">
                  <c:v>86.47</c:v>
                </c:pt>
                <c:pt idx="103">
                  <c:v>87.17</c:v>
                </c:pt>
                <c:pt idx="104">
                  <c:v>85.16</c:v>
                </c:pt>
                <c:pt idx="105">
                  <c:v>83.57</c:v>
                </c:pt>
                <c:pt idx="106">
                  <c:v>81.8</c:v>
                </c:pt>
                <c:pt idx="107">
                  <c:v>81.08</c:v>
                </c:pt>
                <c:pt idx="108">
                  <c:v>79.67</c:v>
                </c:pt>
                <c:pt idx="109">
                  <c:v>78.16</c:v>
                </c:pt>
                <c:pt idx="110">
                  <c:v>79.34</c:v>
                </c:pt>
                <c:pt idx="111">
                  <c:v>78.790000000000006</c:v>
                </c:pt>
                <c:pt idx="112">
                  <c:v>78.58</c:v>
                </c:pt>
                <c:pt idx="113">
                  <c:v>79.97</c:v>
                </c:pt>
                <c:pt idx="114">
                  <c:v>79.2</c:v>
                </c:pt>
                <c:pt idx="115">
                  <c:v>78.040000000000006</c:v>
                </c:pt>
                <c:pt idx="116">
                  <c:v>78.239999999999995</c:v>
                </c:pt>
                <c:pt idx="117">
                  <c:v>78.599999999999994</c:v>
                </c:pt>
                <c:pt idx="118">
                  <c:v>79.12</c:v>
                </c:pt>
                <c:pt idx="119">
                  <c:v>76.319999999999993</c:v>
                </c:pt>
                <c:pt idx="120">
                  <c:v>71.290000000000006</c:v>
                </c:pt>
                <c:pt idx="121">
                  <c:v>70.84</c:v>
                </c:pt>
                <c:pt idx="122">
                  <c:v>69.2</c:v>
                </c:pt>
                <c:pt idx="123">
                  <c:v>69.400000000000006</c:v>
                </c:pt>
                <c:pt idx="124">
                  <c:v>70.150000000000006</c:v>
                </c:pt>
                <c:pt idx="125">
                  <c:v>72.650000000000006</c:v>
                </c:pt>
                <c:pt idx="126">
                  <c:v>74.680000000000007</c:v>
                </c:pt>
                <c:pt idx="127">
                  <c:v>75.56</c:v>
                </c:pt>
                <c:pt idx="128">
                  <c:v>77.72</c:v>
                </c:pt>
                <c:pt idx="129">
                  <c:v>80.16</c:v>
                </c:pt>
                <c:pt idx="130">
                  <c:v>78.88</c:v>
                </c:pt>
                <c:pt idx="131">
                  <c:v>79.34</c:v>
                </c:pt>
                <c:pt idx="132">
                  <c:v>75.099999999999994</c:v>
                </c:pt>
                <c:pt idx="133">
                  <c:v>75.290000000000006</c:v>
                </c:pt>
                <c:pt idx="134">
                  <c:v>74.77</c:v>
                </c:pt>
                <c:pt idx="135">
                  <c:v>77.98</c:v>
                </c:pt>
                <c:pt idx="136">
                  <c:v>80.7</c:v>
                </c:pt>
                <c:pt idx="137">
                  <c:v>83.34</c:v>
                </c:pt>
                <c:pt idx="138">
                  <c:v>82.27</c:v>
                </c:pt>
                <c:pt idx="139">
                  <c:v>83.16</c:v>
                </c:pt>
                <c:pt idx="140">
                  <c:v>81.99</c:v>
                </c:pt>
                <c:pt idx="141">
                  <c:v>78.099999999999994</c:v>
                </c:pt>
                <c:pt idx="142">
                  <c:v>75.69</c:v>
                </c:pt>
                <c:pt idx="143">
                  <c:v>74.33</c:v>
                </c:pt>
                <c:pt idx="144">
                  <c:v>73.86</c:v>
                </c:pt>
                <c:pt idx="145">
                  <c:v>70.260000000000005</c:v>
                </c:pt>
                <c:pt idx="146">
                  <c:v>71.19</c:v>
                </c:pt>
                <c:pt idx="147">
                  <c:v>70.69</c:v>
                </c:pt>
                <c:pt idx="148">
                  <c:v>69.16</c:v>
                </c:pt>
                <c:pt idx="149">
                  <c:v>69.92</c:v>
                </c:pt>
                <c:pt idx="150">
                  <c:v>70.25</c:v>
                </c:pt>
                <c:pt idx="151">
                  <c:v>70.959999999999994</c:v>
                </c:pt>
                <c:pt idx="152">
                  <c:v>69.64</c:v>
                </c:pt>
                <c:pt idx="153">
                  <c:v>70.400000000000006</c:v>
                </c:pt>
                <c:pt idx="154">
                  <c:v>70.180000000000007</c:v>
                </c:pt>
                <c:pt idx="155">
                  <c:v>70.81</c:v>
                </c:pt>
                <c:pt idx="156">
                  <c:v>70.150000000000006</c:v>
                </c:pt>
                <c:pt idx="157">
                  <c:v>69.84</c:v>
                </c:pt>
                <c:pt idx="158">
                  <c:v>70.12</c:v>
                </c:pt>
                <c:pt idx="159">
                  <c:v>77.97</c:v>
                </c:pt>
                <c:pt idx="160">
                  <c:v>81.540000000000006</c:v>
                </c:pt>
                <c:pt idx="161">
                  <c:v>84.77</c:v>
                </c:pt>
                <c:pt idx="162">
                  <c:v>86.04</c:v>
                </c:pt>
                <c:pt idx="163">
                  <c:v>85.86</c:v>
                </c:pt>
                <c:pt idx="164">
                  <c:v>86.9</c:v>
                </c:pt>
                <c:pt idx="165">
                  <c:v>88</c:v>
                </c:pt>
                <c:pt idx="166">
                  <c:v>90.62</c:v>
                </c:pt>
                <c:pt idx="167">
                  <c:v>100.32</c:v>
                </c:pt>
                <c:pt idx="168">
                  <c:v>100.15</c:v>
                </c:pt>
                <c:pt idx="169">
                  <c:v>96.49</c:v>
                </c:pt>
                <c:pt idx="170">
                  <c:v>95.14</c:v>
                </c:pt>
                <c:pt idx="171">
                  <c:v>94.95</c:v>
                </c:pt>
                <c:pt idx="172">
                  <c:v>91.58</c:v>
                </c:pt>
              </c:numCache>
            </c:numRef>
          </c:val>
          <c:smooth val="0"/>
          <c:extLst>
            <c:ext xmlns:c16="http://schemas.microsoft.com/office/drawing/2014/chart" uri="{C3380CC4-5D6E-409C-BE32-E72D297353CC}">
              <c16:uniqueId val="{00000003-35FD-2348-90EA-152E264E0D20}"/>
            </c:ext>
          </c:extLst>
        </c:ser>
        <c:ser>
          <c:idx val="2"/>
          <c:order val="2"/>
          <c:tx>
            <c:strRef>
              <c:f>Datapork!$Z$16</c:f>
              <c:strCache>
                <c:ptCount val="1"/>
                <c:pt idx="0">
                  <c:v>Vepřová kýta SC</c:v>
                </c:pt>
              </c:strCache>
            </c:strRef>
          </c:tx>
          <c:spPr>
            <a:ln w="19050">
              <a:solidFill>
                <a:srgbClr val="000000"/>
              </a:solidFill>
              <a:prstDash val="solid"/>
            </a:ln>
          </c:spPr>
          <c:marker>
            <c:symbol val="none"/>
          </c:marker>
          <c:trendline>
            <c:spPr>
              <a:ln w="3175">
                <a:solidFill>
                  <a:srgbClr val="000000"/>
                </a:solidFill>
                <a:prstDash val="solid"/>
              </a:ln>
            </c:spPr>
            <c:trendlineType val="linear"/>
            <c:dispRSqr val="1"/>
            <c:dispEq val="0"/>
            <c:trendlineLbl>
              <c:layout>
                <c:manualLayout>
                  <c:x val="1.9791117334351238E-3"/>
                  <c:y val="4.1193510941851225E-2"/>
                </c:manualLayout>
              </c:layout>
              <c:numFmt formatCode="General" sourceLinked="0"/>
              <c:spPr>
                <a:noFill/>
                <a:ln w="25400">
                  <a:noFill/>
                </a:ln>
              </c:spPr>
              <c:txPr>
                <a:bodyPr/>
                <a:lstStyle/>
                <a:p>
                  <a:pPr>
                    <a:defRPr sz="1000" b="0" i="0" u="none" strike="noStrike" baseline="0">
                      <a:solidFill>
                        <a:srgbClr val="000000"/>
                      </a:solidFill>
                      <a:latin typeface="Calibri"/>
                      <a:ea typeface="Calibri"/>
                      <a:cs typeface="Calibri"/>
                    </a:defRPr>
                  </a:pPr>
                  <a:endParaRPr lang="cs-CZ"/>
                </a:p>
              </c:txPr>
            </c:trendlineLbl>
          </c:trendline>
          <c:cat>
            <c:numRef>
              <c:f>Datapork!$A$2:$A$174</c:f>
              <c:numCache>
                <c:formatCode>General</c:formatCode>
                <c:ptCount val="173"/>
                <c:pt idx="0">
                  <c:v>106</c:v>
                </c:pt>
                <c:pt idx="1">
                  <c:v>206</c:v>
                </c:pt>
                <c:pt idx="2">
                  <c:v>306</c:v>
                </c:pt>
                <c:pt idx="3">
                  <c:v>406</c:v>
                </c:pt>
                <c:pt idx="4">
                  <c:v>506</c:v>
                </c:pt>
                <c:pt idx="5">
                  <c:v>606</c:v>
                </c:pt>
                <c:pt idx="6">
                  <c:v>706</c:v>
                </c:pt>
                <c:pt idx="7">
                  <c:v>806</c:v>
                </c:pt>
                <c:pt idx="8">
                  <c:v>906</c:v>
                </c:pt>
                <c:pt idx="9">
                  <c:v>1006</c:v>
                </c:pt>
                <c:pt idx="10">
                  <c:v>1106</c:v>
                </c:pt>
                <c:pt idx="11">
                  <c:v>1206</c:v>
                </c:pt>
                <c:pt idx="12">
                  <c:v>107</c:v>
                </c:pt>
                <c:pt idx="13">
                  <c:v>207</c:v>
                </c:pt>
                <c:pt idx="14">
                  <c:v>307</c:v>
                </c:pt>
                <c:pt idx="15">
                  <c:v>407</c:v>
                </c:pt>
                <c:pt idx="16">
                  <c:v>507</c:v>
                </c:pt>
                <c:pt idx="17">
                  <c:v>607</c:v>
                </c:pt>
                <c:pt idx="18">
                  <c:v>707</c:v>
                </c:pt>
                <c:pt idx="19">
                  <c:v>807</c:v>
                </c:pt>
                <c:pt idx="20">
                  <c:v>907</c:v>
                </c:pt>
                <c:pt idx="21">
                  <c:v>1007</c:v>
                </c:pt>
                <c:pt idx="22">
                  <c:v>1107</c:v>
                </c:pt>
                <c:pt idx="23">
                  <c:v>1207</c:v>
                </c:pt>
                <c:pt idx="24">
                  <c:v>108</c:v>
                </c:pt>
                <c:pt idx="25">
                  <c:v>208</c:v>
                </c:pt>
                <c:pt idx="26">
                  <c:v>308</c:v>
                </c:pt>
                <c:pt idx="27">
                  <c:v>408</c:v>
                </c:pt>
                <c:pt idx="28">
                  <c:v>508</c:v>
                </c:pt>
                <c:pt idx="29">
                  <c:v>608</c:v>
                </c:pt>
                <c:pt idx="30">
                  <c:v>708</c:v>
                </c:pt>
                <c:pt idx="31">
                  <c:v>808</c:v>
                </c:pt>
                <c:pt idx="32">
                  <c:v>908</c:v>
                </c:pt>
                <c:pt idx="33">
                  <c:v>1008</c:v>
                </c:pt>
                <c:pt idx="34">
                  <c:v>1108</c:v>
                </c:pt>
                <c:pt idx="35">
                  <c:v>1208</c:v>
                </c:pt>
                <c:pt idx="36">
                  <c:v>109</c:v>
                </c:pt>
                <c:pt idx="37">
                  <c:v>209</c:v>
                </c:pt>
                <c:pt idx="38">
                  <c:v>309</c:v>
                </c:pt>
                <c:pt idx="39">
                  <c:v>409</c:v>
                </c:pt>
                <c:pt idx="40">
                  <c:v>509</c:v>
                </c:pt>
                <c:pt idx="41">
                  <c:v>609</c:v>
                </c:pt>
                <c:pt idx="42">
                  <c:v>709</c:v>
                </c:pt>
                <c:pt idx="43">
                  <c:v>809</c:v>
                </c:pt>
                <c:pt idx="44">
                  <c:v>909</c:v>
                </c:pt>
                <c:pt idx="45">
                  <c:v>1009</c:v>
                </c:pt>
                <c:pt idx="46">
                  <c:v>1109</c:v>
                </c:pt>
                <c:pt idx="47">
                  <c:v>1209</c:v>
                </c:pt>
                <c:pt idx="48">
                  <c:v>110</c:v>
                </c:pt>
                <c:pt idx="49">
                  <c:v>210</c:v>
                </c:pt>
                <c:pt idx="50">
                  <c:v>310</c:v>
                </c:pt>
                <c:pt idx="51">
                  <c:v>410</c:v>
                </c:pt>
                <c:pt idx="52">
                  <c:v>510</c:v>
                </c:pt>
                <c:pt idx="53">
                  <c:v>610</c:v>
                </c:pt>
                <c:pt idx="54">
                  <c:v>710</c:v>
                </c:pt>
                <c:pt idx="55">
                  <c:v>810</c:v>
                </c:pt>
                <c:pt idx="56">
                  <c:v>910</c:v>
                </c:pt>
                <c:pt idx="57">
                  <c:v>1010</c:v>
                </c:pt>
                <c:pt idx="58">
                  <c:v>1110</c:v>
                </c:pt>
                <c:pt idx="59">
                  <c:v>1210</c:v>
                </c:pt>
                <c:pt idx="60">
                  <c:v>111</c:v>
                </c:pt>
                <c:pt idx="61">
                  <c:v>211</c:v>
                </c:pt>
                <c:pt idx="62">
                  <c:v>311</c:v>
                </c:pt>
                <c:pt idx="63">
                  <c:v>411</c:v>
                </c:pt>
                <c:pt idx="64">
                  <c:v>511</c:v>
                </c:pt>
                <c:pt idx="65">
                  <c:v>611</c:v>
                </c:pt>
                <c:pt idx="66">
                  <c:v>711</c:v>
                </c:pt>
                <c:pt idx="67">
                  <c:v>811</c:v>
                </c:pt>
                <c:pt idx="68">
                  <c:v>911</c:v>
                </c:pt>
                <c:pt idx="69">
                  <c:v>1011</c:v>
                </c:pt>
                <c:pt idx="70">
                  <c:v>1111</c:v>
                </c:pt>
                <c:pt idx="71">
                  <c:v>1211</c:v>
                </c:pt>
                <c:pt idx="72">
                  <c:v>112</c:v>
                </c:pt>
                <c:pt idx="73">
                  <c:v>212</c:v>
                </c:pt>
                <c:pt idx="74">
                  <c:v>312</c:v>
                </c:pt>
                <c:pt idx="75">
                  <c:v>412</c:v>
                </c:pt>
                <c:pt idx="76">
                  <c:v>512</c:v>
                </c:pt>
                <c:pt idx="77">
                  <c:v>612</c:v>
                </c:pt>
                <c:pt idx="78">
                  <c:v>712</c:v>
                </c:pt>
                <c:pt idx="79">
                  <c:v>812</c:v>
                </c:pt>
                <c:pt idx="80">
                  <c:v>912</c:v>
                </c:pt>
                <c:pt idx="81">
                  <c:v>1012</c:v>
                </c:pt>
                <c:pt idx="82">
                  <c:v>1112</c:v>
                </c:pt>
                <c:pt idx="83">
                  <c:v>1212</c:v>
                </c:pt>
                <c:pt idx="84">
                  <c:v>113</c:v>
                </c:pt>
                <c:pt idx="85">
                  <c:v>213</c:v>
                </c:pt>
                <c:pt idx="86">
                  <c:v>313</c:v>
                </c:pt>
                <c:pt idx="87">
                  <c:v>413</c:v>
                </c:pt>
                <c:pt idx="88">
                  <c:v>513</c:v>
                </c:pt>
                <c:pt idx="89">
                  <c:v>613</c:v>
                </c:pt>
                <c:pt idx="90">
                  <c:v>713</c:v>
                </c:pt>
                <c:pt idx="91">
                  <c:v>813</c:v>
                </c:pt>
                <c:pt idx="92">
                  <c:v>913</c:v>
                </c:pt>
                <c:pt idx="93">
                  <c:v>1013</c:v>
                </c:pt>
                <c:pt idx="94">
                  <c:v>1113</c:v>
                </c:pt>
                <c:pt idx="95">
                  <c:v>1213</c:v>
                </c:pt>
                <c:pt idx="96">
                  <c:v>114</c:v>
                </c:pt>
                <c:pt idx="97">
                  <c:v>214</c:v>
                </c:pt>
                <c:pt idx="98">
                  <c:v>314</c:v>
                </c:pt>
                <c:pt idx="99">
                  <c:v>414</c:v>
                </c:pt>
                <c:pt idx="100">
                  <c:v>514</c:v>
                </c:pt>
                <c:pt idx="101">
                  <c:v>614</c:v>
                </c:pt>
                <c:pt idx="102">
                  <c:v>714</c:v>
                </c:pt>
                <c:pt idx="103">
                  <c:v>814</c:v>
                </c:pt>
                <c:pt idx="104">
                  <c:v>914</c:v>
                </c:pt>
                <c:pt idx="105">
                  <c:v>1014</c:v>
                </c:pt>
                <c:pt idx="106">
                  <c:v>1114</c:v>
                </c:pt>
                <c:pt idx="107">
                  <c:v>1214</c:v>
                </c:pt>
                <c:pt idx="108">
                  <c:v>115</c:v>
                </c:pt>
                <c:pt idx="109">
                  <c:v>215</c:v>
                </c:pt>
                <c:pt idx="110">
                  <c:v>315</c:v>
                </c:pt>
                <c:pt idx="111">
                  <c:v>415</c:v>
                </c:pt>
                <c:pt idx="112">
                  <c:v>515</c:v>
                </c:pt>
                <c:pt idx="113">
                  <c:v>615</c:v>
                </c:pt>
                <c:pt idx="114">
                  <c:v>715</c:v>
                </c:pt>
                <c:pt idx="115">
                  <c:v>815</c:v>
                </c:pt>
                <c:pt idx="116">
                  <c:v>915</c:v>
                </c:pt>
                <c:pt idx="117">
                  <c:v>1015</c:v>
                </c:pt>
                <c:pt idx="118">
                  <c:v>1115</c:v>
                </c:pt>
                <c:pt idx="119">
                  <c:v>1215</c:v>
                </c:pt>
                <c:pt idx="120">
                  <c:v>116</c:v>
                </c:pt>
                <c:pt idx="121">
                  <c:v>216</c:v>
                </c:pt>
                <c:pt idx="122">
                  <c:v>316</c:v>
                </c:pt>
                <c:pt idx="123">
                  <c:v>416</c:v>
                </c:pt>
                <c:pt idx="124">
                  <c:v>516</c:v>
                </c:pt>
                <c:pt idx="125">
                  <c:v>616</c:v>
                </c:pt>
                <c:pt idx="126">
                  <c:v>716</c:v>
                </c:pt>
                <c:pt idx="127">
                  <c:v>816</c:v>
                </c:pt>
                <c:pt idx="128">
                  <c:v>916</c:v>
                </c:pt>
                <c:pt idx="129">
                  <c:v>1016</c:v>
                </c:pt>
                <c:pt idx="130">
                  <c:v>1116</c:v>
                </c:pt>
                <c:pt idx="131">
                  <c:v>1216</c:v>
                </c:pt>
                <c:pt idx="132">
                  <c:v>117</c:v>
                </c:pt>
                <c:pt idx="133">
                  <c:v>217</c:v>
                </c:pt>
                <c:pt idx="134">
                  <c:v>317</c:v>
                </c:pt>
                <c:pt idx="135">
                  <c:v>417</c:v>
                </c:pt>
                <c:pt idx="136">
                  <c:v>517</c:v>
                </c:pt>
                <c:pt idx="137">
                  <c:v>617</c:v>
                </c:pt>
                <c:pt idx="138">
                  <c:v>717</c:v>
                </c:pt>
                <c:pt idx="139">
                  <c:v>817</c:v>
                </c:pt>
                <c:pt idx="140">
                  <c:v>917</c:v>
                </c:pt>
                <c:pt idx="141">
                  <c:v>1017</c:v>
                </c:pt>
                <c:pt idx="142">
                  <c:v>1117</c:v>
                </c:pt>
                <c:pt idx="143">
                  <c:v>1217</c:v>
                </c:pt>
                <c:pt idx="144">
                  <c:v>118</c:v>
                </c:pt>
                <c:pt idx="145">
                  <c:v>218</c:v>
                </c:pt>
                <c:pt idx="146">
                  <c:v>318</c:v>
                </c:pt>
                <c:pt idx="147">
                  <c:v>418</c:v>
                </c:pt>
                <c:pt idx="148">
                  <c:v>518</c:v>
                </c:pt>
                <c:pt idx="149">
                  <c:v>618</c:v>
                </c:pt>
                <c:pt idx="150">
                  <c:v>718</c:v>
                </c:pt>
                <c:pt idx="151">
                  <c:v>818</c:v>
                </c:pt>
                <c:pt idx="152">
                  <c:v>918</c:v>
                </c:pt>
                <c:pt idx="153">
                  <c:v>1018</c:v>
                </c:pt>
                <c:pt idx="154">
                  <c:v>1118</c:v>
                </c:pt>
                <c:pt idx="155">
                  <c:v>1218</c:v>
                </c:pt>
                <c:pt idx="156">
                  <c:v>119</c:v>
                </c:pt>
                <c:pt idx="157">
                  <c:v>219</c:v>
                </c:pt>
                <c:pt idx="158">
                  <c:v>319</c:v>
                </c:pt>
                <c:pt idx="159">
                  <c:v>419</c:v>
                </c:pt>
                <c:pt idx="160">
                  <c:v>519</c:v>
                </c:pt>
                <c:pt idx="161">
                  <c:v>619</c:v>
                </c:pt>
                <c:pt idx="162">
                  <c:v>719</c:v>
                </c:pt>
                <c:pt idx="163">
                  <c:v>819</c:v>
                </c:pt>
                <c:pt idx="164">
                  <c:v>919</c:v>
                </c:pt>
                <c:pt idx="165">
                  <c:v>1019</c:v>
                </c:pt>
                <c:pt idx="166">
                  <c:v>1119</c:v>
                </c:pt>
                <c:pt idx="167">
                  <c:v>1219</c:v>
                </c:pt>
                <c:pt idx="168">
                  <c:v>120</c:v>
                </c:pt>
                <c:pt idx="169">
                  <c:v>220</c:v>
                </c:pt>
                <c:pt idx="170">
                  <c:v>320</c:v>
                </c:pt>
                <c:pt idx="171">
                  <c:v>420</c:v>
                </c:pt>
                <c:pt idx="172">
                  <c:v>520</c:v>
                </c:pt>
              </c:numCache>
            </c:numRef>
          </c:cat>
          <c:val>
            <c:numRef>
              <c:f>Datapork!$E$2:$E$174</c:f>
              <c:numCache>
                <c:formatCode>General</c:formatCode>
                <c:ptCount val="173"/>
                <c:pt idx="0">
                  <c:v>109.66</c:v>
                </c:pt>
                <c:pt idx="1">
                  <c:v>109.54</c:v>
                </c:pt>
                <c:pt idx="2">
                  <c:v>107.59</c:v>
                </c:pt>
                <c:pt idx="3">
                  <c:v>105.99</c:v>
                </c:pt>
                <c:pt idx="4">
                  <c:v>110.54</c:v>
                </c:pt>
                <c:pt idx="5">
                  <c:v>108.37</c:v>
                </c:pt>
                <c:pt idx="6">
                  <c:v>111.33</c:v>
                </c:pt>
                <c:pt idx="7">
                  <c:v>109.92</c:v>
                </c:pt>
                <c:pt idx="8">
                  <c:v>113.58</c:v>
                </c:pt>
                <c:pt idx="9">
                  <c:v>113.86</c:v>
                </c:pt>
                <c:pt idx="10">
                  <c:v>111.02</c:v>
                </c:pt>
                <c:pt idx="11">
                  <c:v>111.83</c:v>
                </c:pt>
                <c:pt idx="12">
                  <c:v>112.24</c:v>
                </c:pt>
                <c:pt idx="13">
                  <c:v>109.09</c:v>
                </c:pt>
                <c:pt idx="14">
                  <c:v>107.45</c:v>
                </c:pt>
                <c:pt idx="15">
                  <c:v>105.66</c:v>
                </c:pt>
                <c:pt idx="16">
                  <c:v>106.07</c:v>
                </c:pt>
                <c:pt idx="17">
                  <c:v>106.23</c:v>
                </c:pt>
                <c:pt idx="18">
                  <c:v>105.93</c:v>
                </c:pt>
                <c:pt idx="19">
                  <c:v>108.76</c:v>
                </c:pt>
                <c:pt idx="20">
                  <c:v>107.66</c:v>
                </c:pt>
                <c:pt idx="21">
                  <c:v>107.75</c:v>
                </c:pt>
                <c:pt idx="22">
                  <c:v>106.65</c:v>
                </c:pt>
                <c:pt idx="23">
                  <c:v>106.27</c:v>
                </c:pt>
                <c:pt idx="24">
                  <c:v>107.57</c:v>
                </c:pt>
                <c:pt idx="25">
                  <c:v>107</c:v>
                </c:pt>
                <c:pt idx="26">
                  <c:v>106.97</c:v>
                </c:pt>
                <c:pt idx="27">
                  <c:v>106.74</c:v>
                </c:pt>
                <c:pt idx="28">
                  <c:v>106.81</c:v>
                </c:pt>
                <c:pt idx="29">
                  <c:v>111.11</c:v>
                </c:pt>
                <c:pt idx="30">
                  <c:v>112.74</c:v>
                </c:pt>
                <c:pt idx="31">
                  <c:v>110.85</c:v>
                </c:pt>
                <c:pt idx="32">
                  <c:v>112.58</c:v>
                </c:pt>
                <c:pt idx="33">
                  <c:v>111.76</c:v>
                </c:pt>
                <c:pt idx="34">
                  <c:v>111.21</c:v>
                </c:pt>
                <c:pt idx="35">
                  <c:v>110.52</c:v>
                </c:pt>
                <c:pt idx="36">
                  <c:v>109.88</c:v>
                </c:pt>
                <c:pt idx="37">
                  <c:v>110.62</c:v>
                </c:pt>
                <c:pt idx="38">
                  <c:v>109.34</c:v>
                </c:pt>
                <c:pt idx="39">
                  <c:v>108.82</c:v>
                </c:pt>
                <c:pt idx="40">
                  <c:v>110.57</c:v>
                </c:pt>
                <c:pt idx="41">
                  <c:v>109.72</c:v>
                </c:pt>
                <c:pt idx="42">
                  <c:v>110.73</c:v>
                </c:pt>
                <c:pt idx="43">
                  <c:v>111.01</c:v>
                </c:pt>
                <c:pt idx="44">
                  <c:v>110.36</c:v>
                </c:pt>
                <c:pt idx="45">
                  <c:v>110.02</c:v>
                </c:pt>
                <c:pt idx="46">
                  <c:v>108.4</c:v>
                </c:pt>
                <c:pt idx="47">
                  <c:v>106.63</c:v>
                </c:pt>
                <c:pt idx="48">
                  <c:v>105.02</c:v>
                </c:pt>
                <c:pt idx="49">
                  <c:v>104.07</c:v>
                </c:pt>
                <c:pt idx="50">
                  <c:v>103.28</c:v>
                </c:pt>
                <c:pt idx="51">
                  <c:v>100.7</c:v>
                </c:pt>
                <c:pt idx="52">
                  <c:v>101.8</c:v>
                </c:pt>
                <c:pt idx="53">
                  <c:v>101.68</c:v>
                </c:pt>
                <c:pt idx="54">
                  <c:v>101.97</c:v>
                </c:pt>
                <c:pt idx="55">
                  <c:v>102.4</c:v>
                </c:pt>
                <c:pt idx="56">
                  <c:v>104.48</c:v>
                </c:pt>
                <c:pt idx="57">
                  <c:v>102.84</c:v>
                </c:pt>
                <c:pt idx="58">
                  <c:v>104.04</c:v>
                </c:pt>
                <c:pt idx="59">
                  <c:v>102.37</c:v>
                </c:pt>
                <c:pt idx="60">
                  <c:v>102.73</c:v>
                </c:pt>
                <c:pt idx="61">
                  <c:v>102.69</c:v>
                </c:pt>
                <c:pt idx="62">
                  <c:v>101.79</c:v>
                </c:pt>
                <c:pt idx="63">
                  <c:v>102.66</c:v>
                </c:pt>
                <c:pt idx="64">
                  <c:v>102.1</c:v>
                </c:pt>
                <c:pt idx="65">
                  <c:v>104.3</c:v>
                </c:pt>
                <c:pt idx="66">
                  <c:v>103.39</c:v>
                </c:pt>
                <c:pt idx="67">
                  <c:v>104.08</c:v>
                </c:pt>
                <c:pt idx="68">
                  <c:v>103.14</c:v>
                </c:pt>
                <c:pt idx="69">
                  <c:v>101.01</c:v>
                </c:pt>
                <c:pt idx="70">
                  <c:v>103.2</c:v>
                </c:pt>
                <c:pt idx="71">
                  <c:v>104.95</c:v>
                </c:pt>
                <c:pt idx="72">
                  <c:v>110.65</c:v>
                </c:pt>
                <c:pt idx="73">
                  <c:v>110.07</c:v>
                </c:pt>
                <c:pt idx="74">
                  <c:v>108.49</c:v>
                </c:pt>
                <c:pt idx="75">
                  <c:v>109.06</c:v>
                </c:pt>
                <c:pt idx="76">
                  <c:v>109.23</c:v>
                </c:pt>
                <c:pt idx="77">
                  <c:v>110.69</c:v>
                </c:pt>
                <c:pt idx="78">
                  <c:v>112.47</c:v>
                </c:pt>
                <c:pt idx="79">
                  <c:v>112.13</c:v>
                </c:pt>
                <c:pt idx="80">
                  <c:v>115.09</c:v>
                </c:pt>
                <c:pt idx="81">
                  <c:v>119.44</c:v>
                </c:pt>
                <c:pt idx="82">
                  <c:v>119.17</c:v>
                </c:pt>
                <c:pt idx="83">
                  <c:v>118.05</c:v>
                </c:pt>
                <c:pt idx="84">
                  <c:v>119.5</c:v>
                </c:pt>
                <c:pt idx="85">
                  <c:v>118.55</c:v>
                </c:pt>
                <c:pt idx="86">
                  <c:v>117.89</c:v>
                </c:pt>
                <c:pt idx="87">
                  <c:v>117.67</c:v>
                </c:pt>
                <c:pt idx="88">
                  <c:v>116.09</c:v>
                </c:pt>
                <c:pt idx="89">
                  <c:v>117.44</c:v>
                </c:pt>
                <c:pt idx="90">
                  <c:v>118.5</c:v>
                </c:pt>
                <c:pt idx="91">
                  <c:v>118</c:v>
                </c:pt>
                <c:pt idx="92">
                  <c:v>123.61</c:v>
                </c:pt>
                <c:pt idx="93">
                  <c:v>123.98</c:v>
                </c:pt>
                <c:pt idx="94">
                  <c:v>122.03</c:v>
                </c:pt>
                <c:pt idx="95">
                  <c:v>122.53</c:v>
                </c:pt>
                <c:pt idx="96">
                  <c:v>125.41</c:v>
                </c:pt>
                <c:pt idx="97">
                  <c:v>125.09</c:v>
                </c:pt>
                <c:pt idx="98">
                  <c:v>124.22</c:v>
                </c:pt>
                <c:pt idx="99">
                  <c:v>121.9</c:v>
                </c:pt>
                <c:pt idx="100">
                  <c:v>120.32</c:v>
                </c:pt>
                <c:pt idx="101">
                  <c:v>119.12</c:v>
                </c:pt>
                <c:pt idx="102">
                  <c:v>124.63</c:v>
                </c:pt>
                <c:pt idx="103">
                  <c:v>121.47</c:v>
                </c:pt>
                <c:pt idx="104">
                  <c:v>124.58</c:v>
                </c:pt>
                <c:pt idx="105">
                  <c:v>123.57</c:v>
                </c:pt>
                <c:pt idx="106">
                  <c:v>121.02</c:v>
                </c:pt>
                <c:pt idx="107">
                  <c:v>120.28</c:v>
                </c:pt>
                <c:pt idx="108">
                  <c:v>121.06</c:v>
                </c:pt>
                <c:pt idx="109">
                  <c:v>117.86</c:v>
                </c:pt>
                <c:pt idx="110">
                  <c:v>117</c:v>
                </c:pt>
                <c:pt idx="111">
                  <c:v>114.84</c:v>
                </c:pt>
                <c:pt idx="112">
                  <c:v>116.24</c:v>
                </c:pt>
                <c:pt idx="113">
                  <c:v>116.66</c:v>
                </c:pt>
                <c:pt idx="114">
                  <c:v>116.81</c:v>
                </c:pt>
                <c:pt idx="115">
                  <c:v>113.53</c:v>
                </c:pt>
                <c:pt idx="116">
                  <c:v>112.27</c:v>
                </c:pt>
                <c:pt idx="117">
                  <c:v>114.46</c:v>
                </c:pt>
                <c:pt idx="118">
                  <c:v>116.56</c:v>
                </c:pt>
                <c:pt idx="119">
                  <c:v>113.2</c:v>
                </c:pt>
                <c:pt idx="120">
                  <c:v>115.48</c:v>
                </c:pt>
                <c:pt idx="121">
                  <c:v>109.57</c:v>
                </c:pt>
                <c:pt idx="122">
                  <c:v>111.9</c:v>
                </c:pt>
                <c:pt idx="123">
                  <c:v>110.84</c:v>
                </c:pt>
                <c:pt idx="124">
                  <c:v>110.1</c:v>
                </c:pt>
                <c:pt idx="125">
                  <c:v>106.5</c:v>
                </c:pt>
                <c:pt idx="126">
                  <c:v>111.22</c:v>
                </c:pt>
                <c:pt idx="127">
                  <c:v>116.38</c:v>
                </c:pt>
                <c:pt idx="128">
                  <c:v>113.34</c:v>
                </c:pt>
                <c:pt idx="129">
                  <c:v>121.87</c:v>
                </c:pt>
                <c:pt idx="130">
                  <c:v>120.71</c:v>
                </c:pt>
                <c:pt idx="131">
                  <c:v>113.14</c:v>
                </c:pt>
                <c:pt idx="132">
                  <c:v>119.82</c:v>
                </c:pt>
                <c:pt idx="133">
                  <c:v>118.18</c:v>
                </c:pt>
                <c:pt idx="134">
                  <c:v>116.46</c:v>
                </c:pt>
                <c:pt idx="135">
                  <c:v>118.25</c:v>
                </c:pt>
                <c:pt idx="136">
                  <c:v>125.75</c:v>
                </c:pt>
                <c:pt idx="137">
                  <c:v>120.84</c:v>
                </c:pt>
                <c:pt idx="138">
                  <c:v>128.02000000000001</c:v>
                </c:pt>
                <c:pt idx="139">
                  <c:v>128.28</c:v>
                </c:pt>
                <c:pt idx="140">
                  <c:v>126.87</c:v>
                </c:pt>
                <c:pt idx="141">
                  <c:v>125.68</c:v>
                </c:pt>
                <c:pt idx="142">
                  <c:v>124.74</c:v>
                </c:pt>
                <c:pt idx="143">
                  <c:v>124.13</c:v>
                </c:pt>
                <c:pt idx="144">
                  <c:v>127.67</c:v>
                </c:pt>
                <c:pt idx="145">
                  <c:v>119</c:v>
                </c:pt>
                <c:pt idx="146">
                  <c:v>116.85</c:v>
                </c:pt>
                <c:pt idx="147">
                  <c:v>121.15</c:v>
                </c:pt>
                <c:pt idx="148">
                  <c:v>120.54</c:v>
                </c:pt>
                <c:pt idx="149">
                  <c:v>125.58</c:v>
                </c:pt>
                <c:pt idx="150">
                  <c:v>127.96</c:v>
                </c:pt>
                <c:pt idx="151">
                  <c:v>127.41</c:v>
                </c:pt>
                <c:pt idx="152">
                  <c:v>128.99</c:v>
                </c:pt>
                <c:pt idx="153">
                  <c:v>127.09</c:v>
                </c:pt>
                <c:pt idx="154">
                  <c:v>121.9</c:v>
                </c:pt>
                <c:pt idx="155">
                  <c:v>121.1</c:v>
                </c:pt>
                <c:pt idx="156">
                  <c:v>124.85</c:v>
                </c:pt>
                <c:pt idx="157">
                  <c:v>121.28</c:v>
                </c:pt>
                <c:pt idx="158">
                  <c:v>122.06</c:v>
                </c:pt>
                <c:pt idx="159">
                  <c:v>123.51</c:v>
                </c:pt>
                <c:pt idx="160">
                  <c:v>132.08000000000001</c:v>
                </c:pt>
                <c:pt idx="161">
                  <c:v>132.30000000000001</c:v>
                </c:pt>
                <c:pt idx="162">
                  <c:v>133.74</c:v>
                </c:pt>
                <c:pt idx="163">
                  <c:v>135.63</c:v>
                </c:pt>
                <c:pt idx="164">
                  <c:v>133.46</c:v>
                </c:pt>
                <c:pt idx="165">
                  <c:v>134.66</c:v>
                </c:pt>
                <c:pt idx="166">
                  <c:v>137.97999999999999</c:v>
                </c:pt>
                <c:pt idx="167">
                  <c:v>150</c:v>
                </c:pt>
                <c:pt idx="168">
                  <c:v>148.47999999999999</c:v>
                </c:pt>
                <c:pt idx="169">
                  <c:v>148.97999999999999</c:v>
                </c:pt>
                <c:pt idx="170">
                  <c:v>147.18</c:v>
                </c:pt>
                <c:pt idx="171">
                  <c:v>144.71</c:v>
                </c:pt>
                <c:pt idx="172">
                  <c:v>147.29</c:v>
                </c:pt>
              </c:numCache>
            </c:numRef>
          </c:val>
          <c:smooth val="0"/>
          <c:extLst>
            <c:ext xmlns:c16="http://schemas.microsoft.com/office/drawing/2014/chart" uri="{C3380CC4-5D6E-409C-BE32-E72D297353CC}">
              <c16:uniqueId val="{00000005-35FD-2348-90EA-152E264E0D20}"/>
            </c:ext>
          </c:extLst>
        </c:ser>
        <c:dLbls>
          <c:showLegendKey val="0"/>
          <c:showVal val="0"/>
          <c:showCatName val="0"/>
          <c:showSerName val="0"/>
          <c:showPercent val="0"/>
          <c:showBubbleSize val="0"/>
        </c:dLbls>
        <c:smooth val="0"/>
        <c:axId val="364772952"/>
        <c:axId val="1"/>
      </c:lineChart>
      <c:catAx>
        <c:axId val="364772952"/>
        <c:scaling>
          <c:orientation val="minMax"/>
        </c:scaling>
        <c:delete val="0"/>
        <c:axPos val="b"/>
        <c:numFmt formatCode="General" sourceLinked="1"/>
        <c:majorTickMark val="out"/>
        <c:minorTickMark val="none"/>
        <c:tickLblPos val="nextTo"/>
        <c:spPr>
          <a:ln w="3175">
            <a:solidFill>
              <a:srgbClr val="808080"/>
            </a:solidFill>
            <a:prstDash val="solid"/>
          </a:ln>
        </c:spPr>
        <c:txPr>
          <a:bodyPr rot="-5400000" vert="horz"/>
          <a:lstStyle/>
          <a:p>
            <a:pPr>
              <a:defRPr sz="1000" b="0" i="0" u="none" strike="noStrike" baseline="0">
                <a:solidFill>
                  <a:srgbClr val="000000"/>
                </a:solidFill>
                <a:latin typeface="Calibri"/>
                <a:ea typeface="Calibri"/>
                <a:cs typeface="Calibri"/>
              </a:defRPr>
            </a:pPr>
            <a:endParaRPr lang="cs-CZ"/>
          </a:p>
        </c:txPr>
        <c:crossAx val="1"/>
        <c:crosses val="autoZero"/>
        <c:auto val="0"/>
        <c:lblAlgn val="ctr"/>
        <c:lblOffset val="100"/>
        <c:tickLblSkip val="4"/>
        <c:tickMarkSkip val="1"/>
        <c:noMultiLvlLbl val="0"/>
      </c:catAx>
      <c:valAx>
        <c:axId val="1"/>
        <c:scaling>
          <c:orientation val="minMax"/>
        </c:scaling>
        <c:delete val="0"/>
        <c:axPos val="l"/>
        <c:majorGridlines>
          <c:spPr>
            <a:ln w="3175">
              <a:solidFill>
                <a:srgbClr val="808080"/>
              </a:solidFill>
              <a:prstDash val="solid"/>
            </a:ln>
          </c:spPr>
        </c:majorGridlines>
        <c:title>
          <c:tx>
            <c:rich>
              <a:bodyPr/>
              <a:lstStyle/>
              <a:p>
                <a:pPr>
                  <a:defRPr sz="1000" b="1" i="0" u="none" strike="noStrike" baseline="0">
                    <a:solidFill>
                      <a:srgbClr val="000000"/>
                    </a:solidFill>
                    <a:latin typeface="Calibri"/>
                    <a:ea typeface="Calibri"/>
                    <a:cs typeface="Calibri"/>
                  </a:defRPr>
                </a:pPr>
                <a:r>
                  <a:rPr lang="cs-CZ"/>
                  <a:t>Kč/kg</a:t>
                </a:r>
              </a:p>
            </c:rich>
          </c:tx>
          <c:layout>
            <c:manualLayout>
              <c:xMode val="edge"/>
              <c:yMode val="edge"/>
              <c:x val="2.4249422632794459E-2"/>
              <c:y val="0.41176470588235292"/>
            </c:manualLayout>
          </c:layout>
          <c:overlay val="0"/>
          <c:spPr>
            <a:noFill/>
            <a:ln w="25400">
              <a:noFill/>
            </a:ln>
          </c:spPr>
        </c:title>
        <c:numFmt formatCode="General" sourceLinked="1"/>
        <c:majorTickMark val="out"/>
        <c:minorTickMark val="none"/>
        <c:tickLblPos val="nextTo"/>
        <c:spPr>
          <a:ln w="3175">
            <a:solidFill>
              <a:srgbClr val="808080"/>
            </a:solidFill>
            <a:prstDash val="solid"/>
          </a:ln>
        </c:spPr>
        <c:txPr>
          <a:bodyPr rot="0" vert="horz"/>
          <a:lstStyle/>
          <a:p>
            <a:pPr>
              <a:defRPr sz="1000" b="0" i="0" u="none" strike="noStrike" baseline="0">
                <a:solidFill>
                  <a:srgbClr val="000000"/>
                </a:solidFill>
                <a:latin typeface="Calibri"/>
                <a:ea typeface="Calibri"/>
                <a:cs typeface="Calibri"/>
              </a:defRPr>
            </a:pPr>
            <a:endParaRPr lang="cs-CZ"/>
          </a:p>
        </c:txPr>
        <c:crossAx val="364772952"/>
        <c:crosses val="autoZero"/>
        <c:crossBetween val="between"/>
      </c:valAx>
      <c:spPr>
        <a:solidFill>
          <a:srgbClr val="FFFFFF"/>
        </a:solidFill>
        <a:ln w="25400">
          <a:noFill/>
        </a:ln>
      </c:spPr>
    </c:plotArea>
    <c:legend>
      <c:legendPos val="r"/>
      <c:layout>
        <c:manualLayout>
          <c:xMode val="edge"/>
          <c:yMode val="edge"/>
          <c:x val="5.5618047744032005E-3"/>
          <c:y val="0.84834888047479917"/>
          <c:w val="0.97228940132483443"/>
          <c:h val="0.13204337914499456"/>
        </c:manualLayout>
      </c:layout>
      <c:overlay val="0"/>
      <c:spPr>
        <a:noFill/>
        <a:ln w="25400">
          <a:noFill/>
        </a:ln>
      </c:spPr>
      <c:txPr>
        <a:bodyPr/>
        <a:lstStyle/>
        <a:p>
          <a:pPr>
            <a:defRPr sz="920" b="0" i="0" u="none" strike="noStrike" baseline="0">
              <a:solidFill>
                <a:srgbClr val="000000"/>
              </a:solidFill>
              <a:latin typeface="Calibri"/>
              <a:ea typeface="Calibri"/>
              <a:cs typeface="Calibri"/>
            </a:defRPr>
          </a:pPr>
          <a:endParaRPr lang="cs-CZ"/>
        </a:p>
      </c:txPr>
    </c:legend>
    <c:plotVisOnly val="1"/>
    <c:dispBlanksAs val="gap"/>
    <c:showDLblsOverMax val="0"/>
  </c:chart>
  <c:spPr>
    <a:solidFill>
      <a:srgbClr val="FFFFFF"/>
    </a:solidFill>
    <a:ln w="12700">
      <a:solidFill>
        <a:srgbClr val="000000"/>
      </a:solidFill>
      <a:prstDash val="solid"/>
    </a:ln>
  </c:spPr>
  <c:txPr>
    <a:bodyPr/>
    <a:lstStyle/>
    <a:p>
      <a:pPr>
        <a:defRPr sz="10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392609699769054"/>
          <c:y val="3.2679738562091505E-2"/>
          <c:w val="0.82332563510392609"/>
          <c:h val="0.68811659045947049"/>
        </c:manualLayout>
      </c:layout>
      <c:lineChart>
        <c:grouping val="standard"/>
        <c:varyColors val="0"/>
        <c:ser>
          <c:idx val="0"/>
          <c:order val="0"/>
          <c:tx>
            <c:strRef>
              <c:f>Datapork!$Z$9</c:f>
              <c:strCache>
                <c:ptCount val="1"/>
                <c:pt idx="0">
                  <c:v>Prasata jatečná CZV</c:v>
                </c:pt>
              </c:strCache>
            </c:strRef>
          </c:tx>
          <c:spPr>
            <a:ln w="19050">
              <a:solidFill>
                <a:srgbClr val="0070C0"/>
              </a:solidFill>
              <a:prstDash val="solid"/>
            </a:ln>
          </c:spPr>
          <c:marker>
            <c:symbol val="none"/>
          </c:marker>
          <c:trendline>
            <c:spPr>
              <a:ln w="3175">
                <a:solidFill>
                  <a:srgbClr val="000000"/>
                </a:solidFill>
                <a:prstDash val="solid"/>
              </a:ln>
            </c:spPr>
            <c:trendlineType val="linear"/>
            <c:dispRSqr val="1"/>
            <c:dispEq val="0"/>
            <c:trendlineLbl>
              <c:layout>
                <c:manualLayout>
                  <c:x val="-9.2909748867996411E-3"/>
                  <c:y val="2.8062603285700427E-2"/>
                </c:manualLayout>
              </c:layout>
              <c:numFmt formatCode="General" sourceLinked="0"/>
              <c:spPr>
                <a:noFill/>
                <a:ln w="25400">
                  <a:noFill/>
                </a:ln>
              </c:spPr>
              <c:txPr>
                <a:bodyPr/>
                <a:lstStyle/>
                <a:p>
                  <a:pPr>
                    <a:defRPr sz="1000" b="0" i="0" u="none" strike="noStrike" baseline="0">
                      <a:solidFill>
                        <a:srgbClr val="000000"/>
                      </a:solidFill>
                      <a:latin typeface="Calibri"/>
                      <a:ea typeface="Calibri"/>
                      <a:cs typeface="Calibri"/>
                    </a:defRPr>
                  </a:pPr>
                  <a:endParaRPr lang="cs-CZ"/>
                </a:p>
              </c:txPr>
            </c:trendlineLbl>
          </c:trendline>
          <c:cat>
            <c:numRef>
              <c:f>Datapork!$A$2:$A$174</c:f>
              <c:numCache>
                <c:formatCode>General</c:formatCode>
                <c:ptCount val="173"/>
                <c:pt idx="0">
                  <c:v>106</c:v>
                </c:pt>
                <c:pt idx="1">
                  <c:v>206</c:v>
                </c:pt>
                <c:pt idx="2">
                  <c:v>306</c:v>
                </c:pt>
                <c:pt idx="3">
                  <c:v>406</c:v>
                </c:pt>
                <c:pt idx="4">
                  <c:v>506</c:v>
                </c:pt>
                <c:pt idx="5">
                  <c:v>606</c:v>
                </c:pt>
                <c:pt idx="6">
                  <c:v>706</c:v>
                </c:pt>
                <c:pt idx="7">
                  <c:v>806</c:v>
                </c:pt>
                <c:pt idx="8">
                  <c:v>906</c:v>
                </c:pt>
                <c:pt idx="9">
                  <c:v>1006</c:v>
                </c:pt>
                <c:pt idx="10">
                  <c:v>1106</c:v>
                </c:pt>
                <c:pt idx="11">
                  <c:v>1206</c:v>
                </c:pt>
                <c:pt idx="12">
                  <c:v>107</c:v>
                </c:pt>
                <c:pt idx="13">
                  <c:v>207</c:v>
                </c:pt>
                <c:pt idx="14">
                  <c:v>307</c:v>
                </c:pt>
                <c:pt idx="15">
                  <c:v>407</c:v>
                </c:pt>
                <c:pt idx="16">
                  <c:v>507</c:v>
                </c:pt>
                <c:pt idx="17">
                  <c:v>607</c:v>
                </c:pt>
                <c:pt idx="18">
                  <c:v>707</c:v>
                </c:pt>
                <c:pt idx="19">
                  <c:v>807</c:v>
                </c:pt>
                <c:pt idx="20">
                  <c:v>907</c:v>
                </c:pt>
                <c:pt idx="21">
                  <c:v>1007</c:v>
                </c:pt>
                <c:pt idx="22">
                  <c:v>1107</c:v>
                </c:pt>
                <c:pt idx="23">
                  <c:v>1207</c:v>
                </c:pt>
                <c:pt idx="24">
                  <c:v>108</c:v>
                </c:pt>
                <c:pt idx="25">
                  <c:v>208</c:v>
                </c:pt>
                <c:pt idx="26">
                  <c:v>308</c:v>
                </c:pt>
                <c:pt idx="27">
                  <c:v>408</c:v>
                </c:pt>
                <c:pt idx="28">
                  <c:v>508</c:v>
                </c:pt>
                <c:pt idx="29">
                  <c:v>608</c:v>
                </c:pt>
                <c:pt idx="30">
                  <c:v>708</c:v>
                </c:pt>
                <c:pt idx="31">
                  <c:v>808</c:v>
                </c:pt>
                <c:pt idx="32">
                  <c:v>908</c:v>
                </c:pt>
                <c:pt idx="33">
                  <c:v>1008</c:v>
                </c:pt>
                <c:pt idx="34">
                  <c:v>1108</c:v>
                </c:pt>
                <c:pt idx="35">
                  <c:v>1208</c:v>
                </c:pt>
                <c:pt idx="36">
                  <c:v>109</c:v>
                </c:pt>
                <c:pt idx="37">
                  <c:v>209</c:v>
                </c:pt>
                <c:pt idx="38">
                  <c:v>309</c:v>
                </c:pt>
                <c:pt idx="39">
                  <c:v>409</c:v>
                </c:pt>
                <c:pt idx="40">
                  <c:v>509</c:v>
                </c:pt>
                <c:pt idx="41">
                  <c:v>609</c:v>
                </c:pt>
                <c:pt idx="42">
                  <c:v>709</c:v>
                </c:pt>
                <c:pt idx="43">
                  <c:v>809</c:v>
                </c:pt>
                <c:pt idx="44">
                  <c:v>909</c:v>
                </c:pt>
                <c:pt idx="45">
                  <c:v>1009</c:v>
                </c:pt>
                <c:pt idx="46">
                  <c:v>1109</c:v>
                </c:pt>
                <c:pt idx="47">
                  <c:v>1209</c:v>
                </c:pt>
                <c:pt idx="48">
                  <c:v>110</c:v>
                </c:pt>
                <c:pt idx="49">
                  <c:v>210</c:v>
                </c:pt>
                <c:pt idx="50">
                  <c:v>310</c:v>
                </c:pt>
                <c:pt idx="51">
                  <c:v>410</c:v>
                </c:pt>
                <c:pt idx="52">
                  <c:v>510</c:v>
                </c:pt>
                <c:pt idx="53">
                  <c:v>610</c:v>
                </c:pt>
                <c:pt idx="54">
                  <c:v>710</c:v>
                </c:pt>
                <c:pt idx="55">
                  <c:v>810</c:v>
                </c:pt>
                <c:pt idx="56">
                  <c:v>910</c:v>
                </c:pt>
                <c:pt idx="57">
                  <c:v>1010</c:v>
                </c:pt>
                <c:pt idx="58">
                  <c:v>1110</c:v>
                </c:pt>
                <c:pt idx="59">
                  <c:v>1210</c:v>
                </c:pt>
                <c:pt idx="60">
                  <c:v>111</c:v>
                </c:pt>
                <c:pt idx="61">
                  <c:v>211</c:v>
                </c:pt>
                <c:pt idx="62">
                  <c:v>311</c:v>
                </c:pt>
                <c:pt idx="63">
                  <c:v>411</c:v>
                </c:pt>
                <c:pt idx="64">
                  <c:v>511</c:v>
                </c:pt>
                <c:pt idx="65">
                  <c:v>611</c:v>
                </c:pt>
                <c:pt idx="66">
                  <c:v>711</c:v>
                </c:pt>
                <c:pt idx="67">
                  <c:v>811</c:v>
                </c:pt>
                <c:pt idx="68">
                  <c:v>911</c:v>
                </c:pt>
                <c:pt idx="69">
                  <c:v>1011</c:v>
                </c:pt>
                <c:pt idx="70">
                  <c:v>1111</c:v>
                </c:pt>
                <c:pt idx="71">
                  <c:v>1211</c:v>
                </c:pt>
                <c:pt idx="72">
                  <c:v>112</c:v>
                </c:pt>
                <c:pt idx="73">
                  <c:v>212</c:v>
                </c:pt>
                <c:pt idx="74">
                  <c:v>312</c:v>
                </c:pt>
                <c:pt idx="75">
                  <c:v>412</c:v>
                </c:pt>
                <c:pt idx="76">
                  <c:v>512</c:v>
                </c:pt>
                <c:pt idx="77">
                  <c:v>612</c:v>
                </c:pt>
                <c:pt idx="78">
                  <c:v>712</c:v>
                </c:pt>
                <c:pt idx="79">
                  <c:v>812</c:v>
                </c:pt>
                <c:pt idx="80">
                  <c:v>912</c:v>
                </c:pt>
                <c:pt idx="81">
                  <c:v>1012</c:v>
                </c:pt>
                <c:pt idx="82">
                  <c:v>1112</c:v>
                </c:pt>
                <c:pt idx="83">
                  <c:v>1212</c:v>
                </c:pt>
                <c:pt idx="84">
                  <c:v>113</c:v>
                </c:pt>
                <c:pt idx="85">
                  <c:v>213</c:v>
                </c:pt>
                <c:pt idx="86">
                  <c:v>313</c:v>
                </c:pt>
                <c:pt idx="87">
                  <c:v>413</c:v>
                </c:pt>
                <c:pt idx="88">
                  <c:v>513</c:v>
                </c:pt>
                <c:pt idx="89">
                  <c:v>613</c:v>
                </c:pt>
                <c:pt idx="90">
                  <c:v>713</c:v>
                </c:pt>
                <c:pt idx="91">
                  <c:v>813</c:v>
                </c:pt>
                <c:pt idx="92">
                  <c:v>913</c:v>
                </c:pt>
                <c:pt idx="93">
                  <c:v>1013</c:v>
                </c:pt>
                <c:pt idx="94">
                  <c:v>1113</c:v>
                </c:pt>
                <c:pt idx="95">
                  <c:v>1213</c:v>
                </c:pt>
                <c:pt idx="96">
                  <c:v>114</c:v>
                </c:pt>
                <c:pt idx="97">
                  <c:v>214</c:v>
                </c:pt>
                <c:pt idx="98">
                  <c:v>314</c:v>
                </c:pt>
                <c:pt idx="99">
                  <c:v>414</c:v>
                </c:pt>
                <c:pt idx="100">
                  <c:v>514</c:v>
                </c:pt>
                <c:pt idx="101">
                  <c:v>614</c:v>
                </c:pt>
                <c:pt idx="102">
                  <c:v>714</c:v>
                </c:pt>
                <c:pt idx="103">
                  <c:v>814</c:v>
                </c:pt>
                <c:pt idx="104">
                  <c:v>914</c:v>
                </c:pt>
                <c:pt idx="105">
                  <c:v>1014</c:v>
                </c:pt>
                <c:pt idx="106">
                  <c:v>1114</c:v>
                </c:pt>
                <c:pt idx="107">
                  <c:v>1214</c:v>
                </c:pt>
                <c:pt idx="108">
                  <c:v>115</c:v>
                </c:pt>
                <c:pt idx="109">
                  <c:v>215</c:v>
                </c:pt>
                <c:pt idx="110">
                  <c:v>315</c:v>
                </c:pt>
                <c:pt idx="111">
                  <c:v>415</c:v>
                </c:pt>
                <c:pt idx="112">
                  <c:v>515</c:v>
                </c:pt>
                <c:pt idx="113">
                  <c:v>615</c:v>
                </c:pt>
                <c:pt idx="114">
                  <c:v>715</c:v>
                </c:pt>
                <c:pt idx="115">
                  <c:v>815</c:v>
                </c:pt>
                <c:pt idx="116">
                  <c:v>915</c:v>
                </c:pt>
                <c:pt idx="117">
                  <c:v>1015</c:v>
                </c:pt>
                <c:pt idx="118">
                  <c:v>1115</c:v>
                </c:pt>
                <c:pt idx="119">
                  <c:v>1215</c:v>
                </c:pt>
                <c:pt idx="120">
                  <c:v>116</c:v>
                </c:pt>
                <c:pt idx="121">
                  <c:v>216</c:v>
                </c:pt>
                <c:pt idx="122">
                  <c:v>316</c:v>
                </c:pt>
                <c:pt idx="123">
                  <c:v>416</c:v>
                </c:pt>
                <c:pt idx="124">
                  <c:v>516</c:v>
                </c:pt>
                <c:pt idx="125">
                  <c:v>616</c:v>
                </c:pt>
                <c:pt idx="126">
                  <c:v>716</c:v>
                </c:pt>
                <c:pt idx="127">
                  <c:v>816</c:v>
                </c:pt>
                <c:pt idx="128">
                  <c:v>916</c:v>
                </c:pt>
                <c:pt idx="129">
                  <c:v>1016</c:v>
                </c:pt>
                <c:pt idx="130">
                  <c:v>1116</c:v>
                </c:pt>
                <c:pt idx="131">
                  <c:v>1216</c:v>
                </c:pt>
                <c:pt idx="132">
                  <c:v>117</c:v>
                </c:pt>
                <c:pt idx="133">
                  <c:v>217</c:v>
                </c:pt>
                <c:pt idx="134">
                  <c:v>317</c:v>
                </c:pt>
                <c:pt idx="135">
                  <c:v>417</c:v>
                </c:pt>
                <c:pt idx="136">
                  <c:v>517</c:v>
                </c:pt>
                <c:pt idx="137">
                  <c:v>617</c:v>
                </c:pt>
                <c:pt idx="138">
                  <c:v>717</c:v>
                </c:pt>
                <c:pt idx="139">
                  <c:v>817</c:v>
                </c:pt>
                <c:pt idx="140">
                  <c:v>917</c:v>
                </c:pt>
                <c:pt idx="141">
                  <c:v>1017</c:v>
                </c:pt>
                <c:pt idx="142">
                  <c:v>1117</c:v>
                </c:pt>
                <c:pt idx="143">
                  <c:v>1217</c:v>
                </c:pt>
                <c:pt idx="144">
                  <c:v>118</c:v>
                </c:pt>
                <c:pt idx="145">
                  <c:v>218</c:v>
                </c:pt>
                <c:pt idx="146">
                  <c:v>318</c:v>
                </c:pt>
                <c:pt idx="147">
                  <c:v>418</c:v>
                </c:pt>
                <c:pt idx="148">
                  <c:v>518</c:v>
                </c:pt>
                <c:pt idx="149">
                  <c:v>618</c:v>
                </c:pt>
                <c:pt idx="150">
                  <c:v>718</c:v>
                </c:pt>
                <c:pt idx="151">
                  <c:v>818</c:v>
                </c:pt>
                <c:pt idx="152">
                  <c:v>918</c:v>
                </c:pt>
                <c:pt idx="153">
                  <c:v>1018</c:v>
                </c:pt>
                <c:pt idx="154">
                  <c:v>1118</c:v>
                </c:pt>
                <c:pt idx="155">
                  <c:v>1218</c:v>
                </c:pt>
                <c:pt idx="156">
                  <c:v>119</c:v>
                </c:pt>
                <c:pt idx="157">
                  <c:v>219</c:v>
                </c:pt>
                <c:pt idx="158">
                  <c:v>319</c:v>
                </c:pt>
                <c:pt idx="159">
                  <c:v>419</c:v>
                </c:pt>
                <c:pt idx="160">
                  <c:v>519</c:v>
                </c:pt>
                <c:pt idx="161">
                  <c:v>619</c:v>
                </c:pt>
                <c:pt idx="162">
                  <c:v>719</c:v>
                </c:pt>
                <c:pt idx="163">
                  <c:v>819</c:v>
                </c:pt>
                <c:pt idx="164">
                  <c:v>919</c:v>
                </c:pt>
                <c:pt idx="165">
                  <c:v>1019</c:v>
                </c:pt>
                <c:pt idx="166">
                  <c:v>1119</c:v>
                </c:pt>
                <c:pt idx="167">
                  <c:v>1219</c:v>
                </c:pt>
                <c:pt idx="168">
                  <c:v>120</c:v>
                </c:pt>
                <c:pt idx="169">
                  <c:v>220</c:v>
                </c:pt>
                <c:pt idx="170">
                  <c:v>320</c:v>
                </c:pt>
                <c:pt idx="171">
                  <c:v>420</c:v>
                </c:pt>
                <c:pt idx="172">
                  <c:v>520</c:v>
                </c:pt>
              </c:numCache>
            </c:numRef>
          </c:cat>
          <c:val>
            <c:numRef>
              <c:f>Datapork!$G$2:$G$174</c:f>
              <c:numCache>
                <c:formatCode>General</c:formatCode>
                <c:ptCount val="173"/>
                <c:pt idx="0">
                  <c:v>41.311999999999998</c:v>
                </c:pt>
                <c:pt idx="1">
                  <c:v>39.029000000000003</c:v>
                </c:pt>
                <c:pt idx="2">
                  <c:v>37.573999999999998</c:v>
                </c:pt>
                <c:pt idx="3">
                  <c:v>38.103999999999999</c:v>
                </c:pt>
                <c:pt idx="4">
                  <c:v>38.755000000000003</c:v>
                </c:pt>
                <c:pt idx="5">
                  <c:v>40.119999999999997</c:v>
                </c:pt>
                <c:pt idx="6">
                  <c:v>42.66</c:v>
                </c:pt>
                <c:pt idx="7">
                  <c:v>44.042999999999999</c:v>
                </c:pt>
                <c:pt idx="8">
                  <c:v>45.192999999999998</c:v>
                </c:pt>
                <c:pt idx="9">
                  <c:v>43.572000000000003</c:v>
                </c:pt>
                <c:pt idx="10">
                  <c:v>40.435000000000002</c:v>
                </c:pt>
                <c:pt idx="11">
                  <c:v>38.332999999999998</c:v>
                </c:pt>
                <c:pt idx="12">
                  <c:v>37.314999999999998</c:v>
                </c:pt>
                <c:pt idx="13">
                  <c:v>35.609000000000002</c:v>
                </c:pt>
                <c:pt idx="14">
                  <c:v>34.133000000000003</c:v>
                </c:pt>
                <c:pt idx="15">
                  <c:v>34.103999999999999</c:v>
                </c:pt>
                <c:pt idx="16">
                  <c:v>34.878</c:v>
                </c:pt>
                <c:pt idx="17">
                  <c:v>37.088000000000001</c:v>
                </c:pt>
                <c:pt idx="18">
                  <c:v>40.061999999999998</c:v>
                </c:pt>
                <c:pt idx="19">
                  <c:v>42.664000000000001</c:v>
                </c:pt>
                <c:pt idx="20">
                  <c:v>42.872</c:v>
                </c:pt>
                <c:pt idx="21">
                  <c:v>40.216000000000001</c:v>
                </c:pt>
                <c:pt idx="22">
                  <c:v>36.436999999999998</c:v>
                </c:pt>
                <c:pt idx="23">
                  <c:v>36.067</c:v>
                </c:pt>
                <c:pt idx="24">
                  <c:v>36.454999999999998</c:v>
                </c:pt>
                <c:pt idx="25">
                  <c:v>34.606999999999999</c:v>
                </c:pt>
                <c:pt idx="26">
                  <c:v>34.118000000000002</c:v>
                </c:pt>
                <c:pt idx="27">
                  <c:v>36.814999999999998</c:v>
                </c:pt>
                <c:pt idx="28">
                  <c:v>38.372999999999998</c:v>
                </c:pt>
                <c:pt idx="29">
                  <c:v>42.363</c:v>
                </c:pt>
                <c:pt idx="30">
                  <c:v>42.387</c:v>
                </c:pt>
                <c:pt idx="31">
                  <c:v>42.042999999999999</c:v>
                </c:pt>
                <c:pt idx="32">
                  <c:v>43.125</c:v>
                </c:pt>
                <c:pt idx="33">
                  <c:v>42.975999999999999</c:v>
                </c:pt>
                <c:pt idx="34">
                  <c:v>39.929000000000002</c:v>
                </c:pt>
                <c:pt idx="35">
                  <c:v>38.994999999999997</c:v>
                </c:pt>
                <c:pt idx="36">
                  <c:v>38.424999999999997</c:v>
                </c:pt>
                <c:pt idx="37">
                  <c:v>37.335000000000001</c:v>
                </c:pt>
                <c:pt idx="38">
                  <c:v>37.634</c:v>
                </c:pt>
                <c:pt idx="39">
                  <c:v>39.244999999999997</c:v>
                </c:pt>
                <c:pt idx="40">
                  <c:v>39.64</c:v>
                </c:pt>
                <c:pt idx="41">
                  <c:v>40.893999999999998</c:v>
                </c:pt>
                <c:pt idx="42">
                  <c:v>41.695</c:v>
                </c:pt>
                <c:pt idx="43">
                  <c:v>40.786000000000001</c:v>
                </c:pt>
                <c:pt idx="44">
                  <c:v>40.048000000000002</c:v>
                </c:pt>
                <c:pt idx="45">
                  <c:v>38.402999999999999</c:v>
                </c:pt>
                <c:pt idx="46">
                  <c:v>35.521999999999998</c:v>
                </c:pt>
                <c:pt idx="47">
                  <c:v>34.533000000000001</c:v>
                </c:pt>
                <c:pt idx="48">
                  <c:v>34.302999999999997</c:v>
                </c:pt>
                <c:pt idx="49">
                  <c:v>33.460999999999999</c:v>
                </c:pt>
                <c:pt idx="50">
                  <c:v>32.981999999999999</c:v>
                </c:pt>
                <c:pt idx="51">
                  <c:v>33.53</c:v>
                </c:pt>
                <c:pt idx="52">
                  <c:v>34.017000000000003</c:v>
                </c:pt>
                <c:pt idx="53">
                  <c:v>36.466000000000001</c:v>
                </c:pt>
                <c:pt idx="54">
                  <c:v>38.009</c:v>
                </c:pt>
                <c:pt idx="55">
                  <c:v>37.247</c:v>
                </c:pt>
                <c:pt idx="56">
                  <c:v>36.517000000000003</c:v>
                </c:pt>
                <c:pt idx="57">
                  <c:v>35.612000000000002</c:v>
                </c:pt>
                <c:pt idx="58">
                  <c:v>34.390999999999998</c:v>
                </c:pt>
                <c:pt idx="59">
                  <c:v>34.353000000000002</c:v>
                </c:pt>
                <c:pt idx="60">
                  <c:v>33.786000000000001</c:v>
                </c:pt>
                <c:pt idx="61">
                  <c:v>33.603999999999999</c:v>
                </c:pt>
                <c:pt idx="62">
                  <c:v>33.982999999999997</c:v>
                </c:pt>
                <c:pt idx="63">
                  <c:v>35.375999999999998</c:v>
                </c:pt>
                <c:pt idx="64">
                  <c:v>37.409999999999997</c:v>
                </c:pt>
                <c:pt idx="65">
                  <c:v>37.331000000000003</c:v>
                </c:pt>
                <c:pt idx="66">
                  <c:v>37.783999999999999</c:v>
                </c:pt>
                <c:pt idx="67">
                  <c:v>38.497</c:v>
                </c:pt>
                <c:pt idx="68">
                  <c:v>37.54</c:v>
                </c:pt>
                <c:pt idx="69">
                  <c:v>37.576999999999998</c:v>
                </c:pt>
                <c:pt idx="70">
                  <c:v>38.951000000000001</c:v>
                </c:pt>
                <c:pt idx="71">
                  <c:v>40.223999999999997</c:v>
                </c:pt>
                <c:pt idx="72">
                  <c:v>41.143000000000001</c:v>
                </c:pt>
                <c:pt idx="73">
                  <c:v>39.826000000000001</c:v>
                </c:pt>
                <c:pt idx="74">
                  <c:v>40.283000000000001</c:v>
                </c:pt>
                <c:pt idx="75">
                  <c:v>41.122999999999998</c:v>
                </c:pt>
                <c:pt idx="76">
                  <c:v>42.098999999999997</c:v>
                </c:pt>
                <c:pt idx="77">
                  <c:v>42.07</c:v>
                </c:pt>
                <c:pt idx="78">
                  <c:v>42.234000000000002</c:v>
                </c:pt>
                <c:pt idx="79">
                  <c:v>42.146000000000001</c:v>
                </c:pt>
                <c:pt idx="80">
                  <c:v>44.311999999999998</c:v>
                </c:pt>
                <c:pt idx="81">
                  <c:v>46.401000000000003</c:v>
                </c:pt>
                <c:pt idx="82">
                  <c:v>46.356000000000002</c:v>
                </c:pt>
                <c:pt idx="83">
                  <c:v>45.347999999999999</c:v>
                </c:pt>
                <c:pt idx="84">
                  <c:v>43.792999999999999</c:v>
                </c:pt>
                <c:pt idx="85">
                  <c:v>41.533999999999999</c:v>
                </c:pt>
                <c:pt idx="86">
                  <c:v>40.453000000000003</c:v>
                </c:pt>
                <c:pt idx="87">
                  <c:v>40.883000000000003</c:v>
                </c:pt>
                <c:pt idx="88">
                  <c:v>41.024999999999999</c:v>
                </c:pt>
                <c:pt idx="89">
                  <c:v>41.805999999999997</c:v>
                </c:pt>
                <c:pt idx="90">
                  <c:v>43.636000000000003</c:v>
                </c:pt>
                <c:pt idx="91">
                  <c:v>45.072000000000003</c:v>
                </c:pt>
                <c:pt idx="92">
                  <c:v>46.805999999999997</c:v>
                </c:pt>
                <c:pt idx="93">
                  <c:v>46.537999999999997</c:v>
                </c:pt>
                <c:pt idx="94">
                  <c:v>46.061999999999998</c:v>
                </c:pt>
                <c:pt idx="95">
                  <c:v>45.487000000000002</c:v>
                </c:pt>
                <c:pt idx="96">
                  <c:v>44.429000000000002</c:v>
                </c:pt>
                <c:pt idx="97">
                  <c:v>42.76</c:v>
                </c:pt>
                <c:pt idx="98">
                  <c:v>41.866999999999997</c:v>
                </c:pt>
                <c:pt idx="99">
                  <c:v>41.808</c:v>
                </c:pt>
                <c:pt idx="100">
                  <c:v>42.567</c:v>
                </c:pt>
                <c:pt idx="101">
                  <c:v>43.500999999999998</c:v>
                </c:pt>
                <c:pt idx="102">
                  <c:v>46.222999999999999</c:v>
                </c:pt>
                <c:pt idx="103">
                  <c:v>45.731000000000002</c:v>
                </c:pt>
                <c:pt idx="104">
                  <c:v>44.533000000000001</c:v>
                </c:pt>
                <c:pt idx="105">
                  <c:v>42.99</c:v>
                </c:pt>
                <c:pt idx="106">
                  <c:v>40.441000000000003</c:v>
                </c:pt>
                <c:pt idx="107">
                  <c:v>39.765000000000001</c:v>
                </c:pt>
                <c:pt idx="108">
                  <c:v>39.048000000000002</c:v>
                </c:pt>
                <c:pt idx="109">
                  <c:v>37.603000000000002</c:v>
                </c:pt>
                <c:pt idx="110">
                  <c:v>37.595999999999997</c:v>
                </c:pt>
                <c:pt idx="111">
                  <c:v>37.643000000000001</c:v>
                </c:pt>
                <c:pt idx="112">
                  <c:v>37.238999999999997</c:v>
                </c:pt>
                <c:pt idx="113">
                  <c:v>37.832999999999998</c:v>
                </c:pt>
                <c:pt idx="114">
                  <c:v>38.689</c:v>
                </c:pt>
                <c:pt idx="115">
                  <c:v>38.578000000000003</c:v>
                </c:pt>
                <c:pt idx="116">
                  <c:v>38.338999999999999</c:v>
                </c:pt>
                <c:pt idx="117">
                  <c:v>38.555</c:v>
                </c:pt>
                <c:pt idx="118">
                  <c:v>37.56</c:v>
                </c:pt>
                <c:pt idx="119">
                  <c:v>35.655999999999999</c:v>
                </c:pt>
                <c:pt idx="120">
                  <c:v>35.456000000000003</c:v>
                </c:pt>
                <c:pt idx="121">
                  <c:v>33.862000000000002</c:v>
                </c:pt>
                <c:pt idx="122">
                  <c:v>33.482999999999997</c:v>
                </c:pt>
                <c:pt idx="123">
                  <c:v>32.939</c:v>
                </c:pt>
                <c:pt idx="124">
                  <c:v>33.417000000000002</c:v>
                </c:pt>
                <c:pt idx="125">
                  <c:v>36</c:v>
                </c:pt>
                <c:pt idx="126">
                  <c:v>39.969000000000001</c:v>
                </c:pt>
                <c:pt idx="127">
                  <c:v>41.162999999999997</c:v>
                </c:pt>
                <c:pt idx="128">
                  <c:v>41.521999999999998</c:v>
                </c:pt>
                <c:pt idx="129">
                  <c:v>43.265000000000001</c:v>
                </c:pt>
                <c:pt idx="130">
                  <c:v>41.523000000000003</c:v>
                </c:pt>
                <c:pt idx="131">
                  <c:v>40.936</c:v>
                </c:pt>
                <c:pt idx="132">
                  <c:v>40.756999999999998</c:v>
                </c:pt>
                <c:pt idx="133">
                  <c:v>40.255000000000003</c:v>
                </c:pt>
                <c:pt idx="134">
                  <c:v>39.978000000000002</c:v>
                </c:pt>
                <c:pt idx="135">
                  <c:v>41.354999999999997</c:v>
                </c:pt>
                <c:pt idx="136">
                  <c:v>42.661000000000001</c:v>
                </c:pt>
                <c:pt idx="137">
                  <c:v>44.332999999999998</c:v>
                </c:pt>
                <c:pt idx="138">
                  <c:v>45.09</c:v>
                </c:pt>
                <c:pt idx="139">
                  <c:v>43.777999999999999</c:v>
                </c:pt>
                <c:pt idx="140">
                  <c:v>42.682000000000002</c:v>
                </c:pt>
                <c:pt idx="141">
                  <c:v>41.363</c:v>
                </c:pt>
                <c:pt idx="142">
                  <c:v>39.319000000000003</c:v>
                </c:pt>
                <c:pt idx="143">
                  <c:v>37.448</c:v>
                </c:pt>
                <c:pt idx="144">
                  <c:v>35.573</c:v>
                </c:pt>
                <c:pt idx="145">
                  <c:v>33.988</c:v>
                </c:pt>
                <c:pt idx="146">
                  <c:v>34.615000000000002</c:v>
                </c:pt>
                <c:pt idx="147">
                  <c:v>34.722999999999999</c:v>
                </c:pt>
                <c:pt idx="148">
                  <c:v>33.860999999999997</c:v>
                </c:pt>
                <c:pt idx="149">
                  <c:v>34.118000000000002</c:v>
                </c:pt>
                <c:pt idx="150">
                  <c:v>34.957000000000001</c:v>
                </c:pt>
                <c:pt idx="151">
                  <c:v>35.353000000000002</c:v>
                </c:pt>
                <c:pt idx="152">
                  <c:v>36.454000000000001</c:v>
                </c:pt>
                <c:pt idx="153">
                  <c:v>35.384</c:v>
                </c:pt>
                <c:pt idx="154">
                  <c:v>34.453000000000003</c:v>
                </c:pt>
                <c:pt idx="155">
                  <c:v>34.292999999999999</c:v>
                </c:pt>
                <c:pt idx="156">
                  <c:v>34.341999999999999</c:v>
                </c:pt>
                <c:pt idx="157">
                  <c:v>33.768999999999998</c:v>
                </c:pt>
                <c:pt idx="158">
                  <c:v>33.863999999999997</c:v>
                </c:pt>
                <c:pt idx="159">
                  <c:v>36.442999999999998</c:v>
                </c:pt>
                <c:pt idx="160">
                  <c:v>39.357999999999997</c:v>
                </c:pt>
                <c:pt idx="161">
                  <c:v>42.404000000000003</c:v>
                </c:pt>
                <c:pt idx="162">
                  <c:v>43.731999999999999</c:v>
                </c:pt>
                <c:pt idx="163">
                  <c:v>43.835999999999999</c:v>
                </c:pt>
                <c:pt idx="164">
                  <c:v>44.905000000000001</c:v>
                </c:pt>
                <c:pt idx="165">
                  <c:v>45.341999999999999</c:v>
                </c:pt>
                <c:pt idx="166">
                  <c:v>45.323</c:v>
                </c:pt>
                <c:pt idx="167">
                  <c:v>47.481000000000002</c:v>
                </c:pt>
                <c:pt idx="168">
                  <c:v>48.645000000000003</c:v>
                </c:pt>
                <c:pt idx="169">
                  <c:v>46.625</c:v>
                </c:pt>
                <c:pt idx="170">
                  <c:v>46.518999999999998</c:v>
                </c:pt>
                <c:pt idx="171">
                  <c:v>46.759</c:v>
                </c:pt>
                <c:pt idx="172">
                  <c:v>44.417000000000002</c:v>
                </c:pt>
              </c:numCache>
            </c:numRef>
          </c:val>
          <c:smooth val="0"/>
          <c:extLst>
            <c:ext xmlns:c16="http://schemas.microsoft.com/office/drawing/2014/chart" uri="{C3380CC4-5D6E-409C-BE32-E72D297353CC}">
              <c16:uniqueId val="{00000001-D261-CE49-9949-F06D98A87464}"/>
            </c:ext>
          </c:extLst>
        </c:ser>
        <c:ser>
          <c:idx val="1"/>
          <c:order val="1"/>
          <c:tx>
            <c:strRef>
              <c:f>Datapork!$Z$12</c:f>
              <c:strCache>
                <c:ptCount val="1"/>
                <c:pt idx="0">
                  <c:v>Vepřová kýta CPV</c:v>
                </c:pt>
              </c:strCache>
            </c:strRef>
          </c:tx>
          <c:spPr>
            <a:ln w="19050">
              <a:solidFill>
                <a:srgbClr val="993300"/>
              </a:solidFill>
              <a:prstDash val="solid"/>
            </a:ln>
          </c:spPr>
          <c:marker>
            <c:symbol val="none"/>
          </c:marker>
          <c:trendline>
            <c:spPr>
              <a:ln w="3175">
                <a:solidFill>
                  <a:srgbClr val="000000"/>
                </a:solidFill>
                <a:prstDash val="solid"/>
              </a:ln>
            </c:spPr>
            <c:trendlineType val="linear"/>
            <c:dispRSqr val="1"/>
            <c:dispEq val="0"/>
            <c:trendlineLbl>
              <c:layout>
                <c:manualLayout>
                  <c:x val="1.0339510101653016E-2"/>
                  <c:y val="-6.8709221804790721E-2"/>
                </c:manualLayout>
              </c:layout>
              <c:numFmt formatCode="General" sourceLinked="0"/>
              <c:spPr>
                <a:noFill/>
                <a:ln w="25400">
                  <a:noFill/>
                </a:ln>
              </c:spPr>
              <c:txPr>
                <a:bodyPr/>
                <a:lstStyle/>
                <a:p>
                  <a:pPr>
                    <a:defRPr sz="1000" b="0" i="0" u="none" strike="noStrike" baseline="0">
                      <a:solidFill>
                        <a:srgbClr val="000000"/>
                      </a:solidFill>
                      <a:latin typeface="Calibri"/>
                      <a:ea typeface="Calibri"/>
                      <a:cs typeface="Calibri"/>
                    </a:defRPr>
                  </a:pPr>
                  <a:endParaRPr lang="cs-CZ"/>
                </a:p>
              </c:txPr>
            </c:trendlineLbl>
          </c:trendline>
          <c:cat>
            <c:numRef>
              <c:f>Datapork!$A$2:$A$174</c:f>
              <c:numCache>
                <c:formatCode>General</c:formatCode>
                <c:ptCount val="173"/>
                <c:pt idx="0">
                  <c:v>106</c:v>
                </c:pt>
                <c:pt idx="1">
                  <c:v>206</c:v>
                </c:pt>
                <c:pt idx="2">
                  <c:v>306</c:v>
                </c:pt>
                <c:pt idx="3">
                  <c:v>406</c:v>
                </c:pt>
                <c:pt idx="4">
                  <c:v>506</c:v>
                </c:pt>
                <c:pt idx="5">
                  <c:v>606</c:v>
                </c:pt>
                <c:pt idx="6">
                  <c:v>706</c:v>
                </c:pt>
                <c:pt idx="7">
                  <c:v>806</c:v>
                </c:pt>
                <c:pt idx="8">
                  <c:v>906</c:v>
                </c:pt>
                <c:pt idx="9">
                  <c:v>1006</c:v>
                </c:pt>
                <c:pt idx="10">
                  <c:v>1106</c:v>
                </c:pt>
                <c:pt idx="11">
                  <c:v>1206</c:v>
                </c:pt>
                <c:pt idx="12">
                  <c:v>107</c:v>
                </c:pt>
                <c:pt idx="13">
                  <c:v>207</c:v>
                </c:pt>
                <c:pt idx="14">
                  <c:v>307</c:v>
                </c:pt>
                <c:pt idx="15">
                  <c:v>407</c:v>
                </c:pt>
                <c:pt idx="16">
                  <c:v>507</c:v>
                </c:pt>
                <c:pt idx="17">
                  <c:v>607</c:v>
                </c:pt>
                <c:pt idx="18">
                  <c:v>707</c:v>
                </c:pt>
                <c:pt idx="19">
                  <c:v>807</c:v>
                </c:pt>
                <c:pt idx="20">
                  <c:v>907</c:v>
                </c:pt>
                <c:pt idx="21">
                  <c:v>1007</c:v>
                </c:pt>
                <c:pt idx="22">
                  <c:v>1107</c:v>
                </c:pt>
                <c:pt idx="23">
                  <c:v>1207</c:v>
                </c:pt>
                <c:pt idx="24">
                  <c:v>108</c:v>
                </c:pt>
                <c:pt idx="25">
                  <c:v>208</c:v>
                </c:pt>
                <c:pt idx="26">
                  <c:v>308</c:v>
                </c:pt>
                <c:pt idx="27">
                  <c:v>408</c:v>
                </c:pt>
                <c:pt idx="28">
                  <c:v>508</c:v>
                </c:pt>
                <c:pt idx="29">
                  <c:v>608</c:v>
                </c:pt>
                <c:pt idx="30">
                  <c:v>708</c:v>
                </c:pt>
                <c:pt idx="31">
                  <c:v>808</c:v>
                </c:pt>
                <c:pt idx="32">
                  <c:v>908</c:v>
                </c:pt>
                <c:pt idx="33">
                  <c:v>1008</c:v>
                </c:pt>
                <c:pt idx="34">
                  <c:v>1108</c:v>
                </c:pt>
                <c:pt idx="35">
                  <c:v>1208</c:v>
                </c:pt>
                <c:pt idx="36">
                  <c:v>109</c:v>
                </c:pt>
                <c:pt idx="37">
                  <c:v>209</c:v>
                </c:pt>
                <c:pt idx="38">
                  <c:v>309</c:v>
                </c:pt>
                <c:pt idx="39">
                  <c:v>409</c:v>
                </c:pt>
                <c:pt idx="40">
                  <c:v>509</c:v>
                </c:pt>
                <c:pt idx="41">
                  <c:v>609</c:v>
                </c:pt>
                <c:pt idx="42">
                  <c:v>709</c:v>
                </c:pt>
                <c:pt idx="43">
                  <c:v>809</c:v>
                </c:pt>
                <c:pt idx="44">
                  <c:v>909</c:v>
                </c:pt>
                <c:pt idx="45">
                  <c:v>1009</c:v>
                </c:pt>
                <c:pt idx="46">
                  <c:v>1109</c:v>
                </c:pt>
                <c:pt idx="47">
                  <c:v>1209</c:v>
                </c:pt>
                <c:pt idx="48">
                  <c:v>110</c:v>
                </c:pt>
                <c:pt idx="49">
                  <c:v>210</c:v>
                </c:pt>
                <c:pt idx="50">
                  <c:v>310</c:v>
                </c:pt>
                <c:pt idx="51">
                  <c:v>410</c:v>
                </c:pt>
                <c:pt idx="52">
                  <c:v>510</c:v>
                </c:pt>
                <c:pt idx="53">
                  <c:v>610</c:v>
                </c:pt>
                <c:pt idx="54">
                  <c:v>710</c:v>
                </c:pt>
                <c:pt idx="55">
                  <c:v>810</c:v>
                </c:pt>
                <c:pt idx="56">
                  <c:v>910</c:v>
                </c:pt>
                <c:pt idx="57">
                  <c:v>1010</c:v>
                </c:pt>
                <c:pt idx="58">
                  <c:v>1110</c:v>
                </c:pt>
                <c:pt idx="59">
                  <c:v>1210</c:v>
                </c:pt>
                <c:pt idx="60">
                  <c:v>111</c:v>
                </c:pt>
                <c:pt idx="61">
                  <c:v>211</c:v>
                </c:pt>
                <c:pt idx="62">
                  <c:v>311</c:v>
                </c:pt>
                <c:pt idx="63">
                  <c:v>411</c:v>
                </c:pt>
                <c:pt idx="64">
                  <c:v>511</c:v>
                </c:pt>
                <c:pt idx="65">
                  <c:v>611</c:v>
                </c:pt>
                <c:pt idx="66">
                  <c:v>711</c:v>
                </c:pt>
                <c:pt idx="67">
                  <c:v>811</c:v>
                </c:pt>
                <c:pt idx="68">
                  <c:v>911</c:v>
                </c:pt>
                <c:pt idx="69">
                  <c:v>1011</c:v>
                </c:pt>
                <c:pt idx="70">
                  <c:v>1111</c:v>
                </c:pt>
                <c:pt idx="71">
                  <c:v>1211</c:v>
                </c:pt>
                <c:pt idx="72">
                  <c:v>112</c:v>
                </c:pt>
                <c:pt idx="73">
                  <c:v>212</c:v>
                </c:pt>
                <c:pt idx="74">
                  <c:v>312</c:v>
                </c:pt>
                <c:pt idx="75">
                  <c:v>412</c:v>
                </c:pt>
                <c:pt idx="76">
                  <c:v>512</c:v>
                </c:pt>
                <c:pt idx="77">
                  <c:v>612</c:v>
                </c:pt>
                <c:pt idx="78">
                  <c:v>712</c:v>
                </c:pt>
                <c:pt idx="79">
                  <c:v>812</c:v>
                </c:pt>
                <c:pt idx="80">
                  <c:v>912</c:v>
                </c:pt>
                <c:pt idx="81">
                  <c:v>1012</c:v>
                </c:pt>
                <c:pt idx="82">
                  <c:v>1112</c:v>
                </c:pt>
                <c:pt idx="83">
                  <c:v>1212</c:v>
                </c:pt>
                <c:pt idx="84">
                  <c:v>113</c:v>
                </c:pt>
                <c:pt idx="85">
                  <c:v>213</c:v>
                </c:pt>
                <c:pt idx="86">
                  <c:v>313</c:v>
                </c:pt>
                <c:pt idx="87">
                  <c:v>413</c:v>
                </c:pt>
                <c:pt idx="88">
                  <c:v>513</c:v>
                </c:pt>
                <c:pt idx="89">
                  <c:v>613</c:v>
                </c:pt>
                <c:pt idx="90">
                  <c:v>713</c:v>
                </c:pt>
                <c:pt idx="91">
                  <c:v>813</c:v>
                </c:pt>
                <c:pt idx="92">
                  <c:v>913</c:v>
                </c:pt>
                <c:pt idx="93">
                  <c:v>1013</c:v>
                </c:pt>
                <c:pt idx="94">
                  <c:v>1113</c:v>
                </c:pt>
                <c:pt idx="95">
                  <c:v>1213</c:v>
                </c:pt>
                <c:pt idx="96">
                  <c:v>114</c:v>
                </c:pt>
                <c:pt idx="97">
                  <c:v>214</c:v>
                </c:pt>
                <c:pt idx="98">
                  <c:v>314</c:v>
                </c:pt>
                <c:pt idx="99">
                  <c:v>414</c:v>
                </c:pt>
                <c:pt idx="100">
                  <c:v>514</c:v>
                </c:pt>
                <c:pt idx="101">
                  <c:v>614</c:v>
                </c:pt>
                <c:pt idx="102">
                  <c:v>714</c:v>
                </c:pt>
                <c:pt idx="103">
                  <c:v>814</c:v>
                </c:pt>
                <c:pt idx="104">
                  <c:v>914</c:v>
                </c:pt>
                <c:pt idx="105">
                  <c:v>1014</c:v>
                </c:pt>
                <c:pt idx="106">
                  <c:v>1114</c:v>
                </c:pt>
                <c:pt idx="107">
                  <c:v>1214</c:v>
                </c:pt>
                <c:pt idx="108">
                  <c:v>115</c:v>
                </c:pt>
                <c:pt idx="109">
                  <c:v>215</c:v>
                </c:pt>
                <c:pt idx="110">
                  <c:v>315</c:v>
                </c:pt>
                <c:pt idx="111">
                  <c:v>415</c:v>
                </c:pt>
                <c:pt idx="112">
                  <c:v>515</c:v>
                </c:pt>
                <c:pt idx="113">
                  <c:v>615</c:v>
                </c:pt>
                <c:pt idx="114">
                  <c:v>715</c:v>
                </c:pt>
                <c:pt idx="115">
                  <c:v>815</c:v>
                </c:pt>
                <c:pt idx="116">
                  <c:v>915</c:v>
                </c:pt>
                <c:pt idx="117">
                  <c:v>1015</c:v>
                </c:pt>
                <c:pt idx="118">
                  <c:v>1115</c:v>
                </c:pt>
                <c:pt idx="119">
                  <c:v>1215</c:v>
                </c:pt>
                <c:pt idx="120">
                  <c:v>116</c:v>
                </c:pt>
                <c:pt idx="121">
                  <c:v>216</c:v>
                </c:pt>
                <c:pt idx="122">
                  <c:v>316</c:v>
                </c:pt>
                <c:pt idx="123">
                  <c:v>416</c:v>
                </c:pt>
                <c:pt idx="124">
                  <c:v>516</c:v>
                </c:pt>
                <c:pt idx="125">
                  <c:v>616</c:v>
                </c:pt>
                <c:pt idx="126">
                  <c:v>716</c:v>
                </c:pt>
                <c:pt idx="127">
                  <c:v>816</c:v>
                </c:pt>
                <c:pt idx="128">
                  <c:v>916</c:v>
                </c:pt>
                <c:pt idx="129">
                  <c:v>1016</c:v>
                </c:pt>
                <c:pt idx="130">
                  <c:v>1116</c:v>
                </c:pt>
                <c:pt idx="131">
                  <c:v>1216</c:v>
                </c:pt>
                <c:pt idx="132">
                  <c:v>117</c:v>
                </c:pt>
                <c:pt idx="133">
                  <c:v>217</c:v>
                </c:pt>
                <c:pt idx="134">
                  <c:v>317</c:v>
                </c:pt>
                <c:pt idx="135">
                  <c:v>417</c:v>
                </c:pt>
                <c:pt idx="136">
                  <c:v>517</c:v>
                </c:pt>
                <c:pt idx="137">
                  <c:v>617</c:v>
                </c:pt>
                <c:pt idx="138">
                  <c:v>717</c:v>
                </c:pt>
                <c:pt idx="139">
                  <c:v>817</c:v>
                </c:pt>
                <c:pt idx="140">
                  <c:v>917</c:v>
                </c:pt>
                <c:pt idx="141">
                  <c:v>1017</c:v>
                </c:pt>
                <c:pt idx="142">
                  <c:v>1117</c:v>
                </c:pt>
                <c:pt idx="143">
                  <c:v>1217</c:v>
                </c:pt>
                <c:pt idx="144">
                  <c:v>118</c:v>
                </c:pt>
                <c:pt idx="145">
                  <c:v>218</c:v>
                </c:pt>
                <c:pt idx="146">
                  <c:v>318</c:v>
                </c:pt>
                <c:pt idx="147">
                  <c:v>418</c:v>
                </c:pt>
                <c:pt idx="148">
                  <c:v>518</c:v>
                </c:pt>
                <c:pt idx="149">
                  <c:v>618</c:v>
                </c:pt>
                <c:pt idx="150">
                  <c:v>718</c:v>
                </c:pt>
                <c:pt idx="151">
                  <c:v>818</c:v>
                </c:pt>
                <c:pt idx="152">
                  <c:v>918</c:v>
                </c:pt>
                <c:pt idx="153">
                  <c:v>1018</c:v>
                </c:pt>
                <c:pt idx="154">
                  <c:v>1118</c:v>
                </c:pt>
                <c:pt idx="155">
                  <c:v>1218</c:v>
                </c:pt>
                <c:pt idx="156">
                  <c:v>119</c:v>
                </c:pt>
                <c:pt idx="157">
                  <c:v>219</c:v>
                </c:pt>
                <c:pt idx="158">
                  <c:v>319</c:v>
                </c:pt>
                <c:pt idx="159">
                  <c:v>419</c:v>
                </c:pt>
                <c:pt idx="160">
                  <c:v>519</c:v>
                </c:pt>
                <c:pt idx="161">
                  <c:v>619</c:v>
                </c:pt>
                <c:pt idx="162">
                  <c:v>719</c:v>
                </c:pt>
                <c:pt idx="163">
                  <c:v>819</c:v>
                </c:pt>
                <c:pt idx="164">
                  <c:v>919</c:v>
                </c:pt>
                <c:pt idx="165">
                  <c:v>1019</c:v>
                </c:pt>
                <c:pt idx="166">
                  <c:v>1119</c:v>
                </c:pt>
                <c:pt idx="167">
                  <c:v>1219</c:v>
                </c:pt>
                <c:pt idx="168">
                  <c:v>120</c:v>
                </c:pt>
                <c:pt idx="169">
                  <c:v>220</c:v>
                </c:pt>
                <c:pt idx="170">
                  <c:v>320</c:v>
                </c:pt>
                <c:pt idx="171">
                  <c:v>420</c:v>
                </c:pt>
                <c:pt idx="172">
                  <c:v>520</c:v>
                </c:pt>
              </c:numCache>
            </c:numRef>
          </c:cat>
          <c:val>
            <c:numRef>
              <c:f>Datapork!$C$2:$C$174</c:f>
              <c:numCache>
                <c:formatCode>General</c:formatCode>
                <c:ptCount val="173"/>
                <c:pt idx="0">
                  <c:v>87.21</c:v>
                </c:pt>
                <c:pt idx="1">
                  <c:v>85.58</c:v>
                </c:pt>
                <c:pt idx="2">
                  <c:v>83.48</c:v>
                </c:pt>
                <c:pt idx="3">
                  <c:v>83.82</c:v>
                </c:pt>
                <c:pt idx="4">
                  <c:v>84.74</c:v>
                </c:pt>
                <c:pt idx="5">
                  <c:v>85.09</c:v>
                </c:pt>
                <c:pt idx="6">
                  <c:v>87.54</c:v>
                </c:pt>
                <c:pt idx="7">
                  <c:v>88.62</c:v>
                </c:pt>
                <c:pt idx="8">
                  <c:v>89.64</c:v>
                </c:pt>
                <c:pt idx="9">
                  <c:v>90.25</c:v>
                </c:pt>
                <c:pt idx="10">
                  <c:v>90.18</c:v>
                </c:pt>
                <c:pt idx="11">
                  <c:v>87.63</c:v>
                </c:pt>
                <c:pt idx="12">
                  <c:v>85.9</c:v>
                </c:pt>
                <c:pt idx="13">
                  <c:v>83.87</c:v>
                </c:pt>
                <c:pt idx="14">
                  <c:v>82.82</c:v>
                </c:pt>
                <c:pt idx="15">
                  <c:v>82.33</c:v>
                </c:pt>
                <c:pt idx="16">
                  <c:v>82.19</c:v>
                </c:pt>
                <c:pt idx="17">
                  <c:v>83.22</c:v>
                </c:pt>
                <c:pt idx="18">
                  <c:v>84.83</c:v>
                </c:pt>
                <c:pt idx="19">
                  <c:v>87.75</c:v>
                </c:pt>
                <c:pt idx="20">
                  <c:v>88.05</c:v>
                </c:pt>
                <c:pt idx="21">
                  <c:v>87.72</c:v>
                </c:pt>
                <c:pt idx="22">
                  <c:v>85.12</c:v>
                </c:pt>
                <c:pt idx="23">
                  <c:v>85.08</c:v>
                </c:pt>
                <c:pt idx="24">
                  <c:v>83.62</c:v>
                </c:pt>
                <c:pt idx="25">
                  <c:v>81.459999999999994</c:v>
                </c:pt>
                <c:pt idx="26">
                  <c:v>81.03</c:v>
                </c:pt>
                <c:pt idx="27">
                  <c:v>81.38</c:v>
                </c:pt>
                <c:pt idx="28">
                  <c:v>82.84</c:v>
                </c:pt>
                <c:pt idx="29">
                  <c:v>84.19</c:v>
                </c:pt>
                <c:pt idx="30">
                  <c:v>84.52</c:v>
                </c:pt>
                <c:pt idx="31">
                  <c:v>84.25</c:v>
                </c:pt>
                <c:pt idx="32">
                  <c:v>83.84</c:v>
                </c:pt>
                <c:pt idx="33">
                  <c:v>85.12</c:v>
                </c:pt>
                <c:pt idx="34">
                  <c:v>80.27</c:v>
                </c:pt>
                <c:pt idx="35">
                  <c:v>79.849999999999994</c:v>
                </c:pt>
                <c:pt idx="36">
                  <c:v>80.34</c:v>
                </c:pt>
                <c:pt idx="37">
                  <c:v>78.89</c:v>
                </c:pt>
                <c:pt idx="38">
                  <c:v>78.77</c:v>
                </c:pt>
                <c:pt idx="39">
                  <c:v>79.38</c:v>
                </c:pt>
                <c:pt idx="40">
                  <c:v>79.83</c:v>
                </c:pt>
                <c:pt idx="41">
                  <c:v>80.17</c:v>
                </c:pt>
                <c:pt idx="42">
                  <c:v>80.459999999999994</c:v>
                </c:pt>
                <c:pt idx="43">
                  <c:v>79.5</c:v>
                </c:pt>
                <c:pt idx="44">
                  <c:v>79.22</c:v>
                </c:pt>
                <c:pt idx="45">
                  <c:v>77.959999999999994</c:v>
                </c:pt>
                <c:pt idx="46">
                  <c:v>74.94</c:v>
                </c:pt>
                <c:pt idx="47">
                  <c:v>74.08</c:v>
                </c:pt>
                <c:pt idx="48">
                  <c:v>73.97</c:v>
                </c:pt>
                <c:pt idx="49">
                  <c:v>72.09</c:v>
                </c:pt>
                <c:pt idx="50">
                  <c:v>72.19</c:v>
                </c:pt>
                <c:pt idx="51">
                  <c:v>71.77</c:v>
                </c:pt>
                <c:pt idx="52">
                  <c:v>71.03</c:v>
                </c:pt>
                <c:pt idx="53">
                  <c:v>72.459999999999994</c:v>
                </c:pt>
                <c:pt idx="54">
                  <c:v>74.34</c:v>
                </c:pt>
                <c:pt idx="55">
                  <c:v>73.72</c:v>
                </c:pt>
                <c:pt idx="56">
                  <c:v>74.98</c:v>
                </c:pt>
                <c:pt idx="57">
                  <c:v>72.22</c:v>
                </c:pt>
                <c:pt idx="58">
                  <c:v>72.06</c:v>
                </c:pt>
                <c:pt idx="59">
                  <c:v>71.94</c:v>
                </c:pt>
                <c:pt idx="60">
                  <c:v>73.44</c:v>
                </c:pt>
                <c:pt idx="61">
                  <c:v>70.959999999999994</c:v>
                </c:pt>
                <c:pt idx="62">
                  <c:v>71.84</c:v>
                </c:pt>
                <c:pt idx="63">
                  <c:v>73.349999999999994</c:v>
                </c:pt>
                <c:pt idx="64">
                  <c:v>74.11</c:v>
                </c:pt>
                <c:pt idx="65">
                  <c:v>74.319999999999993</c:v>
                </c:pt>
                <c:pt idx="66">
                  <c:v>73.89</c:v>
                </c:pt>
                <c:pt idx="67">
                  <c:v>73.11</c:v>
                </c:pt>
                <c:pt idx="68">
                  <c:v>73.819999999999993</c:v>
                </c:pt>
                <c:pt idx="69">
                  <c:v>71.66</c:v>
                </c:pt>
                <c:pt idx="70">
                  <c:v>74.959999999999994</c:v>
                </c:pt>
                <c:pt idx="71">
                  <c:v>76.38</c:v>
                </c:pt>
                <c:pt idx="72">
                  <c:v>75.930000000000007</c:v>
                </c:pt>
                <c:pt idx="73">
                  <c:v>77.680000000000007</c:v>
                </c:pt>
                <c:pt idx="74">
                  <c:v>76.180000000000007</c:v>
                </c:pt>
                <c:pt idx="75">
                  <c:v>75.08</c:v>
                </c:pt>
                <c:pt idx="76">
                  <c:v>75.63</c:v>
                </c:pt>
                <c:pt idx="77">
                  <c:v>76.52</c:v>
                </c:pt>
                <c:pt idx="78">
                  <c:v>76.53</c:v>
                </c:pt>
                <c:pt idx="79">
                  <c:v>76.819999999999993</c:v>
                </c:pt>
                <c:pt idx="80">
                  <c:v>79.069999999999993</c:v>
                </c:pt>
                <c:pt idx="81">
                  <c:v>82.01</c:v>
                </c:pt>
                <c:pt idx="82">
                  <c:v>82.66</c:v>
                </c:pt>
                <c:pt idx="83">
                  <c:v>81.040000000000006</c:v>
                </c:pt>
                <c:pt idx="84">
                  <c:v>81.93</c:v>
                </c:pt>
                <c:pt idx="85">
                  <c:v>80.819999999999993</c:v>
                </c:pt>
                <c:pt idx="86">
                  <c:v>78.52</c:v>
                </c:pt>
                <c:pt idx="87">
                  <c:v>77.83</c:v>
                </c:pt>
                <c:pt idx="88">
                  <c:v>79.22</c:v>
                </c:pt>
                <c:pt idx="89">
                  <c:v>79.75</c:v>
                </c:pt>
                <c:pt idx="90">
                  <c:v>80.41</c:v>
                </c:pt>
                <c:pt idx="91">
                  <c:v>82.41</c:v>
                </c:pt>
                <c:pt idx="92">
                  <c:v>85.27</c:v>
                </c:pt>
                <c:pt idx="93">
                  <c:v>85.74</c:v>
                </c:pt>
                <c:pt idx="94">
                  <c:v>86.86</c:v>
                </c:pt>
                <c:pt idx="95">
                  <c:v>87.17</c:v>
                </c:pt>
                <c:pt idx="96">
                  <c:v>88.06</c:v>
                </c:pt>
                <c:pt idx="97">
                  <c:v>87.51</c:v>
                </c:pt>
                <c:pt idx="98">
                  <c:v>85</c:v>
                </c:pt>
                <c:pt idx="99">
                  <c:v>84.99</c:v>
                </c:pt>
                <c:pt idx="100">
                  <c:v>84.86</c:v>
                </c:pt>
                <c:pt idx="101">
                  <c:v>86.32</c:v>
                </c:pt>
                <c:pt idx="102">
                  <c:v>86.47</c:v>
                </c:pt>
                <c:pt idx="103">
                  <c:v>87.17</c:v>
                </c:pt>
                <c:pt idx="104">
                  <c:v>85.16</c:v>
                </c:pt>
                <c:pt idx="105">
                  <c:v>83.57</c:v>
                </c:pt>
                <c:pt idx="106">
                  <c:v>81.8</c:v>
                </c:pt>
                <c:pt idx="107">
                  <c:v>81.08</c:v>
                </c:pt>
                <c:pt idx="108">
                  <c:v>79.67</c:v>
                </c:pt>
                <c:pt idx="109">
                  <c:v>78.16</c:v>
                </c:pt>
                <c:pt idx="110">
                  <c:v>79.34</c:v>
                </c:pt>
                <c:pt idx="111">
                  <c:v>78.790000000000006</c:v>
                </c:pt>
                <c:pt idx="112">
                  <c:v>78.58</c:v>
                </c:pt>
                <c:pt idx="113">
                  <c:v>79.97</c:v>
                </c:pt>
                <c:pt idx="114">
                  <c:v>79.2</c:v>
                </c:pt>
                <c:pt idx="115">
                  <c:v>78.040000000000006</c:v>
                </c:pt>
                <c:pt idx="116">
                  <c:v>78.239999999999995</c:v>
                </c:pt>
                <c:pt idx="117">
                  <c:v>78.599999999999994</c:v>
                </c:pt>
                <c:pt idx="118">
                  <c:v>79.12</c:v>
                </c:pt>
                <c:pt idx="119">
                  <c:v>76.319999999999993</c:v>
                </c:pt>
                <c:pt idx="120">
                  <c:v>71.290000000000006</c:v>
                </c:pt>
                <c:pt idx="121">
                  <c:v>70.84</c:v>
                </c:pt>
                <c:pt idx="122">
                  <c:v>69.2</c:v>
                </c:pt>
                <c:pt idx="123">
                  <c:v>69.400000000000006</c:v>
                </c:pt>
                <c:pt idx="124">
                  <c:v>70.150000000000006</c:v>
                </c:pt>
                <c:pt idx="125">
                  <c:v>72.650000000000006</c:v>
                </c:pt>
                <c:pt idx="126">
                  <c:v>74.680000000000007</c:v>
                </c:pt>
                <c:pt idx="127">
                  <c:v>75.56</c:v>
                </c:pt>
                <c:pt idx="128">
                  <c:v>77.72</c:v>
                </c:pt>
                <c:pt idx="129">
                  <c:v>80.16</c:v>
                </c:pt>
                <c:pt idx="130">
                  <c:v>78.88</c:v>
                </c:pt>
                <c:pt idx="131">
                  <c:v>79.34</c:v>
                </c:pt>
                <c:pt idx="132">
                  <c:v>75.099999999999994</c:v>
                </c:pt>
                <c:pt idx="133">
                  <c:v>75.290000000000006</c:v>
                </c:pt>
                <c:pt idx="134">
                  <c:v>74.77</c:v>
                </c:pt>
                <c:pt idx="135">
                  <c:v>77.98</c:v>
                </c:pt>
                <c:pt idx="136">
                  <c:v>80.7</c:v>
                </c:pt>
                <c:pt idx="137">
                  <c:v>83.34</c:v>
                </c:pt>
                <c:pt idx="138">
                  <c:v>82.27</c:v>
                </c:pt>
                <c:pt idx="139">
                  <c:v>83.16</c:v>
                </c:pt>
                <c:pt idx="140">
                  <c:v>81.99</c:v>
                </c:pt>
                <c:pt idx="141">
                  <c:v>78.099999999999994</c:v>
                </c:pt>
                <c:pt idx="142">
                  <c:v>75.69</c:v>
                </c:pt>
                <c:pt idx="143">
                  <c:v>74.33</c:v>
                </c:pt>
                <c:pt idx="144">
                  <c:v>73.86</c:v>
                </c:pt>
                <c:pt idx="145">
                  <c:v>70.260000000000005</c:v>
                </c:pt>
                <c:pt idx="146">
                  <c:v>71.19</c:v>
                </c:pt>
                <c:pt idx="147">
                  <c:v>70.69</c:v>
                </c:pt>
                <c:pt idx="148">
                  <c:v>69.16</c:v>
                </c:pt>
                <c:pt idx="149">
                  <c:v>69.92</c:v>
                </c:pt>
                <c:pt idx="150">
                  <c:v>70.25</c:v>
                </c:pt>
                <c:pt idx="151">
                  <c:v>70.959999999999994</c:v>
                </c:pt>
                <c:pt idx="152">
                  <c:v>69.64</c:v>
                </c:pt>
                <c:pt idx="153">
                  <c:v>70.400000000000006</c:v>
                </c:pt>
                <c:pt idx="154">
                  <c:v>70.180000000000007</c:v>
                </c:pt>
                <c:pt idx="155">
                  <c:v>70.81</c:v>
                </c:pt>
                <c:pt idx="156">
                  <c:v>70.150000000000006</c:v>
                </c:pt>
                <c:pt idx="157">
                  <c:v>69.84</c:v>
                </c:pt>
                <c:pt idx="158">
                  <c:v>70.12</c:v>
                </c:pt>
                <c:pt idx="159">
                  <c:v>77.97</c:v>
                </c:pt>
                <c:pt idx="160">
                  <c:v>81.540000000000006</c:v>
                </c:pt>
                <c:pt idx="161">
                  <c:v>84.77</c:v>
                </c:pt>
                <c:pt idx="162">
                  <c:v>86.04</c:v>
                </c:pt>
                <c:pt idx="163">
                  <c:v>85.86</c:v>
                </c:pt>
                <c:pt idx="164">
                  <c:v>86.9</c:v>
                </c:pt>
                <c:pt idx="165">
                  <c:v>88</c:v>
                </c:pt>
                <c:pt idx="166">
                  <c:v>90.62</c:v>
                </c:pt>
                <c:pt idx="167">
                  <c:v>100.32</c:v>
                </c:pt>
                <c:pt idx="168">
                  <c:v>100.15</c:v>
                </c:pt>
                <c:pt idx="169">
                  <c:v>96.49</c:v>
                </c:pt>
                <c:pt idx="170">
                  <c:v>95.14</c:v>
                </c:pt>
                <c:pt idx="171">
                  <c:v>94.95</c:v>
                </c:pt>
                <c:pt idx="172">
                  <c:v>91.58</c:v>
                </c:pt>
              </c:numCache>
            </c:numRef>
          </c:val>
          <c:smooth val="0"/>
          <c:extLst>
            <c:ext xmlns:c16="http://schemas.microsoft.com/office/drawing/2014/chart" uri="{C3380CC4-5D6E-409C-BE32-E72D297353CC}">
              <c16:uniqueId val="{00000003-D261-CE49-9949-F06D98A87464}"/>
            </c:ext>
          </c:extLst>
        </c:ser>
        <c:ser>
          <c:idx val="2"/>
          <c:order val="2"/>
          <c:tx>
            <c:strRef>
              <c:f>Datapork!$Z$16</c:f>
              <c:strCache>
                <c:ptCount val="1"/>
                <c:pt idx="0">
                  <c:v>Vepřová kýta SC</c:v>
                </c:pt>
              </c:strCache>
            </c:strRef>
          </c:tx>
          <c:spPr>
            <a:ln w="19050">
              <a:solidFill>
                <a:srgbClr val="000000"/>
              </a:solidFill>
              <a:prstDash val="solid"/>
            </a:ln>
          </c:spPr>
          <c:marker>
            <c:symbol val="none"/>
          </c:marker>
          <c:trendline>
            <c:spPr>
              <a:ln w="3175">
                <a:solidFill>
                  <a:srgbClr val="000000"/>
                </a:solidFill>
                <a:prstDash val="solid"/>
              </a:ln>
            </c:spPr>
            <c:trendlineType val="linear"/>
            <c:dispRSqr val="1"/>
            <c:dispEq val="0"/>
            <c:trendlineLbl>
              <c:layout>
                <c:manualLayout>
                  <c:x val="1.9791117334351238E-3"/>
                  <c:y val="4.1193510941851225E-2"/>
                </c:manualLayout>
              </c:layout>
              <c:numFmt formatCode="General" sourceLinked="0"/>
              <c:spPr>
                <a:noFill/>
                <a:ln w="25400">
                  <a:noFill/>
                </a:ln>
              </c:spPr>
              <c:txPr>
                <a:bodyPr/>
                <a:lstStyle/>
                <a:p>
                  <a:pPr>
                    <a:defRPr sz="1000" b="0" i="0" u="none" strike="noStrike" baseline="0">
                      <a:solidFill>
                        <a:srgbClr val="000000"/>
                      </a:solidFill>
                      <a:latin typeface="Calibri"/>
                      <a:ea typeface="Calibri"/>
                      <a:cs typeface="Calibri"/>
                    </a:defRPr>
                  </a:pPr>
                  <a:endParaRPr lang="cs-CZ"/>
                </a:p>
              </c:txPr>
            </c:trendlineLbl>
          </c:trendline>
          <c:cat>
            <c:numRef>
              <c:f>Datapork!$A$2:$A$174</c:f>
              <c:numCache>
                <c:formatCode>General</c:formatCode>
                <c:ptCount val="173"/>
                <c:pt idx="0">
                  <c:v>106</c:v>
                </c:pt>
                <c:pt idx="1">
                  <c:v>206</c:v>
                </c:pt>
                <c:pt idx="2">
                  <c:v>306</c:v>
                </c:pt>
                <c:pt idx="3">
                  <c:v>406</c:v>
                </c:pt>
                <c:pt idx="4">
                  <c:v>506</c:v>
                </c:pt>
                <c:pt idx="5">
                  <c:v>606</c:v>
                </c:pt>
                <c:pt idx="6">
                  <c:v>706</c:v>
                </c:pt>
                <c:pt idx="7">
                  <c:v>806</c:v>
                </c:pt>
                <c:pt idx="8">
                  <c:v>906</c:v>
                </c:pt>
                <c:pt idx="9">
                  <c:v>1006</c:v>
                </c:pt>
                <c:pt idx="10">
                  <c:v>1106</c:v>
                </c:pt>
                <c:pt idx="11">
                  <c:v>1206</c:v>
                </c:pt>
                <c:pt idx="12">
                  <c:v>107</c:v>
                </c:pt>
                <c:pt idx="13">
                  <c:v>207</c:v>
                </c:pt>
                <c:pt idx="14">
                  <c:v>307</c:v>
                </c:pt>
                <c:pt idx="15">
                  <c:v>407</c:v>
                </c:pt>
                <c:pt idx="16">
                  <c:v>507</c:v>
                </c:pt>
                <c:pt idx="17">
                  <c:v>607</c:v>
                </c:pt>
                <c:pt idx="18">
                  <c:v>707</c:v>
                </c:pt>
                <c:pt idx="19">
                  <c:v>807</c:v>
                </c:pt>
                <c:pt idx="20">
                  <c:v>907</c:v>
                </c:pt>
                <c:pt idx="21">
                  <c:v>1007</c:v>
                </c:pt>
                <c:pt idx="22">
                  <c:v>1107</c:v>
                </c:pt>
                <c:pt idx="23">
                  <c:v>1207</c:v>
                </c:pt>
                <c:pt idx="24">
                  <c:v>108</c:v>
                </c:pt>
                <c:pt idx="25">
                  <c:v>208</c:v>
                </c:pt>
                <c:pt idx="26">
                  <c:v>308</c:v>
                </c:pt>
                <c:pt idx="27">
                  <c:v>408</c:v>
                </c:pt>
                <c:pt idx="28">
                  <c:v>508</c:v>
                </c:pt>
                <c:pt idx="29">
                  <c:v>608</c:v>
                </c:pt>
                <c:pt idx="30">
                  <c:v>708</c:v>
                </c:pt>
                <c:pt idx="31">
                  <c:v>808</c:v>
                </c:pt>
                <c:pt idx="32">
                  <c:v>908</c:v>
                </c:pt>
                <c:pt idx="33">
                  <c:v>1008</c:v>
                </c:pt>
                <c:pt idx="34">
                  <c:v>1108</c:v>
                </c:pt>
                <c:pt idx="35">
                  <c:v>1208</c:v>
                </c:pt>
                <c:pt idx="36">
                  <c:v>109</c:v>
                </c:pt>
                <c:pt idx="37">
                  <c:v>209</c:v>
                </c:pt>
                <c:pt idx="38">
                  <c:v>309</c:v>
                </c:pt>
                <c:pt idx="39">
                  <c:v>409</c:v>
                </c:pt>
                <c:pt idx="40">
                  <c:v>509</c:v>
                </c:pt>
                <c:pt idx="41">
                  <c:v>609</c:v>
                </c:pt>
                <c:pt idx="42">
                  <c:v>709</c:v>
                </c:pt>
                <c:pt idx="43">
                  <c:v>809</c:v>
                </c:pt>
                <c:pt idx="44">
                  <c:v>909</c:v>
                </c:pt>
                <c:pt idx="45">
                  <c:v>1009</c:v>
                </c:pt>
                <c:pt idx="46">
                  <c:v>1109</c:v>
                </c:pt>
                <c:pt idx="47">
                  <c:v>1209</c:v>
                </c:pt>
                <c:pt idx="48">
                  <c:v>110</c:v>
                </c:pt>
                <c:pt idx="49">
                  <c:v>210</c:v>
                </c:pt>
                <c:pt idx="50">
                  <c:v>310</c:v>
                </c:pt>
                <c:pt idx="51">
                  <c:v>410</c:v>
                </c:pt>
                <c:pt idx="52">
                  <c:v>510</c:v>
                </c:pt>
                <c:pt idx="53">
                  <c:v>610</c:v>
                </c:pt>
                <c:pt idx="54">
                  <c:v>710</c:v>
                </c:pt>
                <c:pt idx="55">
                  <c:v>810</c:v>
                </c:pt>
                <c:pt idx="56">
                  <c:v>910</c:v>
                </c:pt>
                <c:pt idx="57">
                  <c:v>1010</c:v>
                </c:pt>
                <c:pt idx="58">
                  <c:v>1110</c:v>
                </c:pt>
                <c:pt idx="59">
                  <c:v>1210</c:v>
                </c:pt>
                <c:pt idx="60">
                  <c:v>111</c:v>
                </c:pt>
                <c:pt idx="61">
                  <c:v>211</c:v>
                </c:pt>
                <c:pt idx="62">
                  <c:v>311</c:v>
                </c:pt>
                <c:pt idx="63">
                  <c:v>411</c:v>
                </c:pt>
                <c:pt idx="64">
                  <c:v>511</c:v>
                </c:pt>
                <c:pt idx="65">
                  <c:v>611</c:v>
                </c:pt>
                <c:pt idx="66">
                  <c:v>711</c:v>
                </c:pt>
                <c:pt idx="67">
                  <c:v>811</c:v>
                </c:pt>
                <c:pt idx="68">
                  <c:v>911</c:v>
                </c:pt>
                <c:pt idx="69">
                  <c:v>1011</c:v>
                </c:pt>
                <c:pt idx="70">
                  <c:v>1111</c:v>
                </c:pt>
                <c:pt idx="71">
                  <c:v>1211</c:v>
                </c:pt>
                <c:pt idx="72">
                  <c:v>112</c:v>
                </c:pt>
                <c:pt idx="73">
                  <c:v>212</c:v>
                </c:pt>
                <c:pt idx="74">
                  <c:v>312</c:v>
                </c:pt>
                <c:pt idx="75">
                  <c:v>412</c:v>
                </c:pt>
                <c:pt idx="76">
                  <c:v>512</c:v>
                </c:pt>
                <c:pt idx="77">
                  <c:v>612</c:v>
                </c:pt>
                <c:pt idx="78">
                  <c:v>712</c:v>
                </c:pt>
                <c:pt idx="79">
                  <c:v>812</c:v>
                </c:pt>
                <c:pt idx="80">
                  <c:v>912</c:v>
                </c:pt>
                <c:pt idx="81">
                  <c:v>1012</c:v>
                </c:pt>
                <c:pt idx="82">
                  <c:v>1112</c:v>
                </c:pt>
                <c:pt idx="83">
                  <c:v>1212</c:v>
                </c:pt>
                <c:pt idx="84">
                  <c:v>113</c:v>
                </c:pt>
                <c:pt idx="85">
                  <c:v>213</c:v>
                </c:pt>
                <c:pt idx="86">
                  <c:v>313</c:v>
                </c:pt>
                <c:pt idx="87">
                  <c:v>413</c:v>
                </c:pt>
                <c:pt idx="88">
                  <c:v>513</c:v>
                </c:pt>
                <c:pt idx="89">
                  <c:v>613</c:v>
                </c:pt>
                <c:pt idx="90">
                  <c:v>713</c:v>
                </c:pt>
                <c:pt idx="91">
                  <c:v>813</c:v>
                </c:pt>
                <c:pt idx="92">
                  <c:v>913</c:v>
                </c:pt>
                <c:pt idx="93">
                  <c:v>1013</c:v>
                </c:pt>
                <c:pt idx="94">
                  <c:v>1113</c:v>
                </c:pt>
                <c:pt idx="95">
                  <c:v>1213</c:v>
                </c:pt>
                <c:pt idx="96">
                  <c:v>114</c:v>
                </c:pt>
                <c:pt idx="97">
                  <c:v>214</c:v>
                </c:pt>
                <c:pt idx="98">
                  <c:v>314</c:v>
                </c:pt>
                <c:pt idx="99">
                  <c:v>414</c:v>
                </c:pt>
                <c:pt idx="100">
                  <c:v>514</c:v>
                </c:pt>
                <c:pt idx="101">
                  <c:v>614</c:v>
                </c:pt>
                <c:pt idx="102">
                  <c:v>714</c:v>
                </c:pt>
                <c:pt idx="103">
                  <c:v>814</c:v>
                </c:pt>
                <c:pt idx="104">
                  <c:v>914</c:v>
                </c:pt>
                <c:pt idx="105">
                  <c:v>1014</c:v>
                </c:pt>
                <c:pt idx="106">
                  <c:v>1114</c:v>
                </c:pt>
                <c:pt idx="107">
                  <c:v>1214</c:v>
                </c:pt>
                <c:pt idx="108">
                  <c:v>115</c:v>
                </c:pt>
                <c:pt idx="109">
                  <c:v>215</c:v>
                </c:pt>
                <c:pt idx="110">
                  <c:v>315</c:v>
                </c:pt>
                <c:pt idx="111">
                  <c:v>415</c:v>
                </c:pt>
                <c:pt idx="112">
                  <c:v>515</c:v>
                </c:pt>
                <c:pt idx="113">
                  <c:v>615</c:v>
                </c:pt>
                <c:pt idx="114">
                  <c:v>715</c:v>
                </c:pt>
                <c:pt idx="115">
                  <c:v>815</c:v>
                </c:pt>
                <c:pt idx="116">
                  <c:v>915</c:v>
                </c:pt>
                <c:pt idx="117">
                  <c:v>1015</c:v>
                </c:pt>
                <c:pt idx="118">
                  <c:v>1115</c:v>
                </c:pt>
                <c:pt idx="119">
                  <c:v>1215</c:v>
                </c:pt>
                <c:pt idx="120">
                  <c:v>116</c:v>
                </c:pt>
                <c:pt idx="121">
                  <c:v>216</c:v>
                </c:pt>
                <c:pt idx="122">
                  <c:v>316</c:v>
                </c:pt>
                <c:pt idx="123">
                  <c:v>416</c:v>
                </c:pt>
                <c:pt idx="124">
                  <c:v>516</c:v>
                </c:pt>
                <c:pt idx="125">
                  <c:v>616</c:v>
                </c:pt>
                <c:pt idx="126">
                  <c:v>716</c:v>
                </c:pt>
                <c:pt idx="127">
                  <c:v>816</c:v>
                </c:pt>
                <c:pt idx="128">
                  <c:v>916</c:v>
                </c:pt>
                <c:pt idx="129">
                  <c:v>1016</c:v>
                </c:pt>
                <c:pt idx="130">
                  <c:v>1116</c:v>
                </c:pt>
                <c:pt idx="131">
                  <c:v>1216</c:v>
                </c:pt>
                <c:pt idx="132">
                  <c:v>117</c:v>
                </c:pt>
                <c:pt idx="133">
                  <c:v>217</c:v>
                </c:pt>
                <c:pt idx="134">
                  <c:v>317</c:v>
                </c:pt>
                <c:pt idx="135">
                  <c:v>417</c:v>
                </c:pt>
                <c:pt idx="136">
                  <c:v>517</c:v>
                </c:pt>
                <c:pt idx="137">
                  <c:v>617</c:v>
                </c:pt>
                <c:pt idx="138">
                  <c:v>717</c:v>
                </c:pt>
                <c:pt idx="139">
                  <c:v>817</c:v>
                </c:pt>
                <c:pt idx="140">
                  <c:v>917</c:v>
                </c:pt>
                <c:pt idx="141">
                  <c:v>1017</c:v>
                </c:pt>
                <c:pt idx="142">
                  <c:v>1117</c:v>
                </c:pt>
                <c:pt idx="143">
                  <c:v>1217</c:v>
                </c:pt>
                <c:pt idx="144">
                  <c:v>118</c:v>
                </c:pt>
                <c:pt idx="145">
                  <c:v>218</c:v>
                </c:pt>
                <c:pt idx="146">
                  <c:v>318</c:v>
                </c:pt>
                <c:pt idx="147">
                  <c:v>418</c:v>
                </c:pt>
                <c:pt idx="148">
                  <c:v>518</c:v>
                </c:pt>
                <c:pt idx="149">
                  <c:v>618</c:v>
                </c:pt>
                <c:pt idx="150">
                  <c:v>718</c:v>
                </c:pt>
                <c:pt idx="151">
                  <c:v>818</c:v>
                </c:pt>
                <c:pt idx="152">
                  <c:v>918</c:v>
                </c:pt>
                <c:pt idx="153">
                  <c:v>1018</c:v>
                </c:pt>
                <c:pt idx="154">
                  <c:v>1118</c:v>
                </c:pt>
                <c:pt idx="155">
                  <c:v>1218</c:v>
                </c:pt>
                <c:pt idx="156">
                  <c:v>119</c:v>
                </c:pt>
                <c:pt idx="157">
                  <c:v>219</c:v>
                </c:pt>
                <c:pt idx="158">
                  <c:v>319</c:v>
                </c:pt>
                <c:pt idx="159">
                  <c:v>419</c:v>
                </c:pt>
                <c:pt idx="160">
                  <c:v>519</c:v>
                </c:pt>
                <c:pt idx="161">
                  <c:v>619</c:v>
                </c:pt>
                <c:pt idx="162">
                  <c:v>719</c:v>
                </c:pt>
                <c:pt idx="163">
                  <c:v>819</c:v>
                </c:pt>
                <c:pt idx="164">
                  <c:v>919</c:v>
                </c:pt>
                <c:pt idx="165">
                  <c:v>1019</c:v>
                </c:pt>
                <c:pt idx="166">
                  <c:v>1119</c:v>
                </c:pt>
                <c:pt idx="167">
                  <c:v>1219</c:v>
                </c:pt>
                <c:pt idx="168">
                  <c:v>120</c:v>
                </c:pt>
                <c:pt idx="169">
                  <c:v>220</c:v>
                </c:pt>
                <c:pt idx="170">
                  <c:v>320</c:v>
                </c:pt>
                <c:pt idx="171">
                  <c:v>420</c:v>
                </c:pt>
                <c:pt idx="172">
                  <c:v>520</c:v>
                </c:pt>
              </c:numCache>
            </c:numRef>
          </c:cat>
          <c:val>
            <c:numRef>
              <c:f>Datapork!$E$2:$E$174</c:f>
              <c:numCache>
                <c:formatCode>General</c:formatCode>
                <c:ptCount val="173"/>
                <c:pt idx="0">
                  <c:v>109.66</c:v>
                </c:pt>
                <c:pt idx="1">
                  <c:v>109.54</c:v>
                </c:pt>
                <c:pt idx="2">
                  <c:v>107.59</c:v>
                </c:pt>
                <c:pt idx="3">
                  <c:v>105.99</c:v>
                </c:pt>
                <c:pt idx="4">
                  <c:v>110.54</c:v>
                </c:pt>
                <c:pt idx="5">
                  <c:v>108.37</c:v>
                </c:pt>
                <c:pt idx="6">
                  <c:v>111.33</c:v>
                </c:pt>
                <c:pt idx="7">
                  <c:v>109.92</c:v>
                </c:pt>
                <c:pt idx="8">
                  <c:v>113.58</c:v>
                </c:pt>
                <c:pt idx="9">
                  <c:v>113.86</c:v>
                </c:pt>
                <c:pt idx="10">
                  <c:v>111.02</c:v>
                </c:pt>
                <c:pt idx="11">
                  <c:v>111.83</c:v>
                </c:pt>
                <c:pt idx="12">
                  <c:v>112.24</c:v>
                </c:pt>
                <c:pt idx="13">
                  <c:v>109.09</c:v>
                </c:pt>
                <c:pt idx="14">
                  <c:v>107.45</c:v>
                </c:pt>
                <c:pt idx="15">
                  <c:v>105.66</c:v>
                </c:pt>
                <c:pt idx="16">
                  <c:v>106.07</c:v>
                </c:pt>
                <c:pt idx="17">
                  <c:v>106.23</c:v>
                </c:pt>
                <c:pt idx="18">
                  <c:v>105.93</c:v>
                </c:pt>
                <c:pt idx="19">
                  <c:v>108.76</c:v>
                </c:pt>
                <c:pt idx="20">
                  <c:v>107.66</c:v>
                </c:pt>
                <c:pt idx="21">
                  <c:v>107.75</c:v>
                </c:pt>
                <c:pt idx="22">
                  <c:v>106.65</c:v>
                </c:pt>
                <c:pt idx="23">
                  <c:v>106.27</c:v>
                </c:pt>
                <c:pt idx="24">
                  <c:v>107.57</c:v>
                </c:pt>
                <c:pt idx="25">
                  <c:v>107</c:v>
                </c:pt>
                <c:pt idx="26">
                  <c:v>106.97</c:v>
                </c:pt>
                <c:pt idx="27">
                  <c:v>106.74</c:v>
                </c:pt>
                <c:pt idx="28">
                  <c:v>106.81</c:v>
                </c:pt>
                <c:pt idx="29">
                  <c:v>111.11</c:v>
                </c:pt>
                <c:pt idx="30">
                  <c:v>112.74</c:v>
                </c:pt>
                <c:pt idx="31">
                  <c:v>110.85</c:v>
                </c:pt>
                <c:pt idx="32">
                  <c:v>112.58</c:v>
                </c:pt>
                <c:pt idx="33">
                  <c:v>111.76</c:v>
                </c:pt>
                <c:pt idx="34">
                  <c:v>111.21</c:v>
                </c:pt>
                <c:pt idx="35">
                  <c:v>110.52</c:v>
                </c:pt>
                <c:pt idx="36">
                  <c:v>109.88</c:v>
                </c:pt>
                <c:pt idx="37">
                  <c:v>110.62</c:v>
                </c:pt>
                <c:pt idx="38">
                  <c:v>109.34</c:v>
                </c:pt>
                <c:pt idx="39">
                  <c:v>108.82</c:v>
                </c:pt>
                <c:pt idx="40">
                  <c:v>110.57</c:v>
                </c:pt>
                <c:pt idx="41">
                  <c:v>109.72</c:v>
                </c:pt>
                <c:pt idx="42">
                  <c:v>110.73</c:v>
                </c:pt>
                <c:pt idx="43">
                  <c:v>111.01</c:v>
                </c:pt>
                <c:pt idx="44">
                  <c:v>110.36</c:v>
                </c:pt>
                <c:pt idx="45">
                  <c:v>110.02</c:v>
                </c:pt>
                <c:pt idx="46">
                  <c:v>108.4</c:v>
                </c:pt>
                <c:pt idx="47">
                  <c:v>106.63</c:v>
                </c:pt>
                <c:pt idx="48">
                  <c:v>105.02</c:v>
                </c:pt>
                <c:pt idx="49">
                  <c:v>104.07</c:v>
                </c:pt>
                <c:pt idx="50">
                  <c:v>103.28</c:v>
                </c:pt>
                <c:pt idx="51">
                  <c:v>100.7</c:v>
                </c:pt>
                <c:pt idx="52">
                  <c:v>101.8</c:v>
                </c:pt>
                <c:pt idx="53">
                  <c:v>101.68</c:v>
                </c:pt>
                <c:pt idx="54">
                  <c:v>101.97</c:v>
                </c:pt>
                <c:pt idx="55">
                  <c:v>102.4</c:v>
                </c:pt>
                <c:pt idx="56">
                  <c:v>104.48</c:v>
                </c:pt>
                <c:pt idx="57">
                  <c:v>102.84</c:v>
                </c:pt>
                <c:pt idx="58">
                  <c:v>104.04</c:v>
                </c:pt>
                <c:pt idx="59">
                  <c:v>102.37</c:v>
                </c:pt>
                <c:pt idx="60">
                  <c:v>102.73</c:v>
                </c:pt>
                <c:pt idx="61">
                  <c:v>102.69</c:v>
                </c:pt>
                <c:pt idx="62">
                  <c:v>101.79</c:v>
                </c:pt>
                <c:pt idx="63">
                  <c:v>102.66</c:v>
                </c:pt>
                <c:pt idx="64">
                  <c:v>102.1</c:v>
                </c:pt>
                <c:pt idx="65">
                  <c:v>104.3</c:v>
                </c:pt>
                <c:pt idx="66">
                  <c:v>103.39</c:v>
                </c:pt>
                <c:pt idx="67">
                  <c:v>104.08</c:v>
                </c:pt>
                <c:pt idx="68">
                  <c:v>103.14</c:v>
                </c:pt>
                <c:pt idx="69">
                  <c:v>101.01</c:v>
                </c:pt>
                <c:pt idx="70">
                  <c:v>103.2</c:v>
                </c:pt>
                <c:pt idx="71">
                  <c:v>104.95</c:v>
                </c:pt>
                <c:pt idx="72">
                  <c:v>110.65</c:v>
                </c:pt>
                <c:pt idx="73">
                  <c:v>110.07</c:v>
                </c:pt>
                <c:pt idx="74">
                  <c:v>108.49</c:v>
                </c:pt>
                <c:pt idx="75">
                  <c:v>109.06</c:v>
                </c:pt>
                <c:pt idx="76">
                  <c:v>109.23</c:v>
                </c:pt>
                <c:pt idx="77">
                  <c:v>110.69</c:v>
                </c:pt>
                <c:pt idx="78">
                  <c:v>112.47</c:v>
                </c:pt>
                <c:pt idx="79">
                  <c:v>112.13</c:v>
                </c:pt>
                <c:pt idx="80">
                  <c:v>115.09</c:v>
                </c:pt>
                <c:pt idx="81">
                  <c:v>119.44</c:v>
                </c:pt>
                <c:pt idx="82">
                  <c:v>119.17</c:v>
                </c:pt>
                <c:pt idx="83">
                  <c:v>118.05</c:v>
                </c:pt>
                <c:pt idx="84">
                  <c:v>119.5</c:v>
                </c:pt>
                <c:pt idx="85">
                  <c:v>118.55</c:v>
                </c:pt>
                <c:pt idx="86">
                  <c:v>117.89</c:v>
                </c:pt>
                <c:pt idx="87">
                  <c:v>117.67</c:v>
                </c:pt>
                <c:pt idx="88">
                  <c:v>116.09</c:v>
                </c:pt>
                <c:pt idx="89">
                  <c:v>117.44</c:v>
                </c:pt>
                <c:pt idx="90">
                  <c:v>118.5</c:v>
                </c:pt>
                <c:pt idx="91">
                  <c:v>118</c:v>
                </c:pt>
                <c:pt idx="92">
                  <c:v>123.61</c:v>
                </c:pt>
                <c:pt idx="93">
                  <c:v>123.98</c:v>
                </c:pt>
                <c:pt idx="94">
                  <c:v>122.03</c:v>
                </c:pt>
                <c:pt idx="95">
                  <c:v>122.53</c:v>
                </c:pt>
                <c:pt idx="96">
                  <c:v>125.41</c:v>
                </c:pt>
                <c:pt idx="97">
                  <c:v>125.09</c:v>
                </c:pt>
                <c:pt idx="98">
                  <c:v>124.22</c:v>
                </c:pt>
                <c:pt idx="99">
                  <c:v>121.9</c:v>
                </c:pt>
                <c:pt idx="100">
                  <c:v>120.32</c:v>
                </c:pt>
                <c:pt idx="101">
                  <c:v>119.12</c:v>
                </c:pt>
                <c:pt idx="102">
                  <c:v>124.63</c:v>
                </c:pt>
                <c:pt idx="103">
                  <c:v>121.47</c:v>
                </c:pt>
                <c:pt idx="104">
                  <c:v>124.58</c:v>
                </c:pt>
                <c:pt idx="105">
                  <c:v>123.57</c:v>
                </c:pt>
                <c:pt idx="106">
                  <c:v>121.02</c:v>
                </c:pt>
                <c:pt idx="107">
                  <c:v>120.28</c:v>
                </c:pt>
                <c:pt idx="108">
                  <c:v>121.06</c:v>
                </c:pt>
                <c:pt idx="109">
                  <c:v>117.86</c:v>
                </c:pt>
                <c:pt idx="110">
                  <c:v>117</c:v>
                </c:pt>
                <c:pt idx="111">
                  <c:v>114.84</c:v>
                </c:pt>
                <c:pt idx="112">
                  <c:v>116.24</c:v>
                </c:pt>
                <c:pt idx="113">
                  <c:v>116.66</c:v>
                </c:pt>
                <c:pt idx="114">
                  <c:v>116.81</c:v>
                </c:pt>
                <c:pt idx="115">
                  <c:v>113.53</c:v>
                </c:pt>
                <c:pt idx="116">
                  <c:v>112.27</c:v>
                </c:pt>
                <c:pt idx="117">
                  <c:v>114.46</c:v>
                </c:pt>
                <c:pt idx="118">
                  <c:v>116.56</c:v>
                </c:pt>
                <c:pt idx="119">
                  <c:v>113.2</c:v>
                </c:pt>
                <c:pt idx="120">
                  <c:v>115.48</c:v>
                </c:pt>
                <c:pt idx="121">
                  <c:v>109.57</c:v>
                </c:pt>
                <c:pt idx="122">
                  <c:v>111.9</c:v>
                </c:pt>
                <c:pt idx="123">
                  <c:v>110.84</c:v>
                </c:pt>
                <c:pt idx="124">
                  <c:v>110.1</c:v>
                </c:pt>
                <c:pt idx="125">
                  <c:v>106.5</c:v>
                </c:pt>
                <c:pt idx="126">
                  <c:v>111.22</c:v>
                </c:pt>
                <c:pt idx="127">
                  <c:v>116.38</c:v>
                </c:pt>
                <c:pt idx="128">
                  <c:v>113.34</c:v>
                </c:pt>
                <c:pt idx="129">
                  <c:v>121.87</c:v>
                </c:pt>
                <c:pt idx="130">
                  <c:v>120.71</c:v>
                </c:pt>
                <c:pt idx="131">
                  <c:v>113.14</c:v>
                </c:pt>
                <c:pt idx="132">
                  <c:v>119.82</c:v>
                </c:pt>
                <c:pt idx="133">
                  <c:v>118.18</c:v>
                </c:pt>
                <c:pt idx="134">
                  <c:v>116.46</c:v>
                </c:pt>
                <c:pt idx="135">
                  <c:v>118.25</c:v>
                </c:pt>
                <c:pt idx="136">
                  <c:v>125.75</c:v>
                </c:pt>
                <c:pt idx="137">
                  <c:v>120.84</c:v>
                </c:pt>
                <c:pt idx="138">
                  <c:v>128.02000000000001</c:v>
                </c:pt>
                <c:pt idx="139">
                  <c:v>128.28</c:v>
                </c:pt>
                <c:pt idx="140">
                  <c:v>126.87</c:v>
                </c:pt>
                <c:pt idx="141">
                  <c:v>125.68</c:v>
                </c:pt>
                <c:pt idx="142">
                  <c:v>124.74</c:v>
                </c:pt>
                <c:pt idx="143">
                  <c:v>124.13</c:v>
                </c:pt>
                <c:pt idx="144">
                  <c:v>127.67</c:v>
                </c:pt>
                <c:pt idx="145">
                  <c:v>119</c:v>
                </c:pt>
                <c:pt idx="146">
                  <c:v>116.85</c:v>
                </c:pt>
                <c:pt idx="147">
                  <c:v>121.15</c:v>
                </c:pt>
                <c:pt idx="148">
                  <c:v>120.54</c:v>
                </c:pt>
                <c:pt idx="149">
                  <c:v>125.58</c:v>
                </c:pt>
                <c:pt idx="150">
                  <c:v>127.96</c:v>
                </c:pt>
                <c:pt idx="151">
                  <c:v>127.41</c:v>
                </c:pt>
                <c:pt idx="152">
                  <c:v>128.99</c:v>
                </c:pt>
                <c:pt idx="153">
                  <c:v>127.09</c:v>
                </c:pt>
                <c:pt idx="154">
                  <c:v>121.9</c:v>
                </c:pt>
                <c:pt idx="155">
                  <c:v>121.1</c:v>
                </c:pt>
                <c:pt idx="156">
                  <c:v>124.85</c:v>
                </c:pt>
                <c:pt idx="157">
                  <c:v>121.28</c:v>
                </c:pt>
                <c:pt idx="158">
                  <c:v>122.06</c:v>
                </c:pt>
                <c:pt idx="159">
                  <c:v>123.51</c:v>
                </c:pt>
                <c:pt idx="160">
                  <c:v>132.08000000000001</c:v>
                </c:pt>
                <c:pt idx="161">
                  <c:v>132.30000000000001</c:v>
                </c:pt>
                <c:pt idx="162">
                  <c:v>133.74</c:v>
                </c:pt>
                <c:pt idx="163">
                  <c:v>135.63</c:v>
                </c:pt>
                <c:pt idx="164">
                  <c:v>133.46</c:v>
                </c:pt>
                <c:pt idx="165">
                  <c:v>134.66</c:v>
                </c:pt>
                <c:pt idx="166">
                  <c:v>137.97999999999999</c:v>
                </c:pt>
                <c:pt idx="167">
                  <c:v>150</c:v>
                </c:pt>
                <c:pt idx="168">
                  <c:v>148.47999999999999</c:v>
                </c:pt>
                <c:pt idx="169">
                  <c:v>148.97999999999999</c:v>
                </c:pt>
                <c:pt idx="170">
                  <c:v>147.18</c:v>
                </c:pt>
                <c:pt idx="171">
                  <c:v>144.71</c:v>
                </c:pt>
                <c:pt idx="172">
                  <c:v>147.29</c:v>
                </c:pt>
              </c:numCache>
            </c:numRef>
          </c:val>
          <c:smooth val="0"/>
          <c:extLst>
            <c:ext xmlns:c16="http://schemas.microsoft.com/office/drawing/2014/chart" uri="{C3380CC4-5D6E-409C-BE32-E72D297353CC}">
              <c16:uniqueId val="{00000005-D261-CE49-9949-F06D98A87464}"/>
            </c:ext>
          </c:extLst>
        </c:ser>
        <c:dLbls>
          <c:showLegendKey val="0"/>
          <c:showVal val="0"/>
          <c:showCatName val="0"/>
          <c:showSerName val="0"/>
          <c:showPercent val="0"/>
          <c:showBubbleSize val="0"/>
        </c:dLbls>
        <c:smooth val="0"/>
        <c:axId val="364772952"/>
        <c:axId val="1"/>
      </c:lineChart>
      <c:catAx>
        <c:axId val="364772952"/>
        <c:scaling>
          <c:orientation val="minMax"/>
        </c:scaling>
        <c:delete val="0"/>
        <c:axPos val="b"/>
        <c:numFmt formatCode="General" sourceLinked="1"/>
        <c:majorTickMark val="out"/>
        <c:minorTickMark val="none"/>
        <c:tickLblPos val="nextTo"/>
        <c:spPr>
          <a:ln w="3175">
            <a:solidFill>
              <a:srgbClr val="808080"/>
            </a:solidFill>
            <a:prstDash val="solid"/>
          </a:ln>
        </c:spPr>
        <c:txPr>
          <a:bodyPr rot="-5400000" vert="horz"/>
          <a:lstStyle/>
          <a:p>
            <a:pPr>
              <a:defRPr sz="1000" b="0" i="0" u="none" strike="noStrike" baseline="0">
                <a:solidFill>
                  <a:srgbClr val="000000"/>
                </a:solidFill>
                <a:latin typeface="Calibri"/>
                <a:ea typeface="Calibri"/>
                <a:cs typeface="Calibri"/>
              </a:defRPr>
            </a:pPr>
            <a:endParaRPr lang="cs-CZ"/>
          </a:p>
        </c:txPr>
        <c:crossAx val="1"/>
        <c:crosses val="autoZero"/>
        <c:auto val="0"/>
        <c:lblAlgn val="ctr"/>
        <c:lblOffset val="100"/>
        <c:tickLblSkip val="4"/>
        <c:tickMarkSkip val="1"/>
        <c:noMultiLvlLbl val="0"/>
      </c:catAx>
      <c:valAx>
        <c:axId val="1"/>
        <c:scaling>
          <c:orientation val="minMax"/>
        </c:scaling>
        <c:delete val="0"/>
        <c:axPos val="l"/>
        <c:majorGridlines>
          <c:spPr>
            <a:ln w="3175">
              <a:solidFill>
                <a:srgbClr val="808080"/>
              </a:solidFill>
              <a:prstDash val="solid"/>
            </a:ln>
          </c:spPr>
        </c:majorGridlines>
        <c:title>
          <c:tx>
            <c:rich>
              <a:bodyPr/>
              <a:lstStyle/>
              <a:p>
                <a:pPr>
                  <a:defRPr sz="1000" b="1" i="0" u="none" strike="noStrike" baseline="0">
                    <a:solidFill>
                      <a:srgbClr val="000000"/>
                    </a:solidFill>
                    <a:latin typeface="Calibri"/>
                    <a:ea typeface="Calibri"/>
                    <a:cs typeface="Calibri"/>
                  </a:defRPr>
                </a:pPr>
                <a:r>
                  <a:rPr lang="cs-CZ"/>
                  <a:t>Kč/kg</a:t>
                </a:r>
              </a:p>
            </c:rich>
          </c:tx>
          <c:layout>
            <c:manualLayout>
              <c:xMode val="edge"/>
              <c:yMode val="edge"/>
              <c:x val="2.4249422632794459E-2"/>
              <c:y val="0.41176470588235292"/>
            </c:manualLayout>
          </c:layout>
          <c:overlay val="0"/>
          <c:spPr>
            <a:noFill/>
            <a:ln w="25400">
              <a:noFill/>
            </a:ln>
          </c:spPr>
        </c:title>
        <c:numFmt formatCode="General" sourceLinked="1"/>
        <c:majorTickMark val="out"/>
        <c:minorTickMark val="none"/>
        <c:tickLblPos val="nextTo"/>
        <c:spPr>
          <a:ln w="3175">
            <a:solidFill>
              <a:srgbClr val="808080"/>
            </a:solidFill>
            <a:prstDash val="solid"/>
          </a:ln>
        </c:spPr>
        <c:txPr>
          <a:bodyPr rot="0" vert="horz"/>
          <a:lstStyle/>
          <a:p>
            <a:pPr>
              <a:defRPr sz="1000" b="0" i="0" u="none" strike="noStrike" baseline="0">
                <a:solidFill>
                  <a:srgbClr val="000000"/>
                </a:solidFill>
                <a:latin typeface="Calibri"/>
                <a:ea typeface="Calibri"/>
                <a:cs typeface="Calibri"/>
              </a:defRPr>
            </a:pPr>
            <a:endParaRPr lang="cs-CZ"/>
          </a:p>
        </c:txPr>
        <c:crossAx val="364772952"/>
        <c:crosses val="autoZero"/>
        <c:crossBetween val="between"/>
      </c:valAx>
      <c:spPr>
        <a:solidFill>
          <a:srgbClr val="FFFFFF"/>
        </a:solidFill>
        <a:ln w="25400">
          <a:noFill/>
        </a:ln>
      </c:spPr>
    </c:plotArea>
    <c:legend>
      <c:legendPos val="r"/>
      <c:layout>
        <c:manualLayout>
          <c:xMode val="edge"/>
          <c:yMode val="edge"/>
          <c:x val="5.5618047744032005E-3"/>
          <c:y val="0.84834888047479917"/>
          <c:w val="0.97228940132483443"/>
          <c:h val="0.13204337914499456"/>
        </c:manualLayout>
      </c:layout>
      <c:overlay val="0"/>
      <c:spPr>
        <a:noFill/>
        <a:ln w="25400">
          <a:noFill/>
        </a:ln>
      </c:spPr>
      <c:txPr>
        <a:bodyPr/>
        <a:lstStyle/>
        <a:p>
          <a:pPr>
            <a:defRPr sz="920" b="0" i="0" u="none" strike="noStrike" baseline="0">
              <a:solidFill>
                <a:srgbClr val="000000"/>
              </a:solidFill>
              <a:latin typeface="Calibri"/>
              <a:ea typeface="Calibri"/>
              <a:cs typeface="Calibri"/>
            </a:defRPr>
          </a:pPr>
          <a:endParaRPr lang="cs-CZ"/>
        </a:p>
      </c:txPr>
    </c:legend>
    <c:plotVisOnly val="1"/>
    <c:dispBlanksAs val="gap"/>
    <c:showDLblsOverMax val="0"/>
  </c:chart>
  <c:spPr>
    <a:solidFill>
      <a:srgbClr val="FFFFFF"/>
    </a:solidFill>
    <a:ln w="12700">
      <a:solidFill>
        <a:srgbClr val="000000"/>
      </a:solidFill>
      <a:prstDash val="solid"/>
    </a:ln>
  </c:spPr>
  <c:txPr>
    <a:bodyPr/>
    <a:lstStyle/>
    <a:p>
      <a:pPr>
        <a:defRPr sz="1000" b="0" i="0" u="none" strike="noStrike" baseline="0">
          <a:solidFill>
            <a:srgbClr val="000000"/>
          </a:solidFill>
          <a:latin typeface="Calibri"/>
          <a:ea typeface="Calibri"/>
          <a:cs typeface="Calibri"/>
        </a:defRPr>
      </a:pPr>
      <a:endParaRPr lang="cs-CZ"/>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List1!$D$3</c:f>
              <c:strCache>
                <c:ptCount val="1"/>
                <c:pt idx="0">
                  <c:v>Podíl respondentů</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List1!$C$4:$C$9</c:f>
              <c:strCache>
                <c:ptCount val="6"/>
                <c:pt idx="0">
                  <c:v>Ve vlastní provozovně</c:v>
                </c:pt>
                <c:pt idx="1">
                  <c:v>Na farmářských trzích</c:v>
                </c:pt>
                <c:pt idx="2">
                  <c:v>Ve specializované (cizí) prodejně</c:v>
                </c:pt>
                <c:pt idx="3">
                  <c:v>Jinde</c:v>
                </c:pt>
                <c:pt idx="4">
                  <c:v>Přes internet s vlastním závozem</c:v>
                </c:pt>
                <c:pt idx="5">
                  <c:v>V supermarketu</c:v>
                </c:pt>
              </c:strCache>
            </c:strRef>
          </c:cat>
          <c:val>
            <c:numRef>
              <c:f>List1!$D$4:$D$9</c:f>
              <c:numCache>
                <c:formatCode>General</c:formatCode>
                <c:ptCount val="6"/>
                <c:pt idx="0">
                  <c:v>85.6</c:v>
                </c:pt>
                <c:pt idx="1">
                  <c:v>49.4</c:v>
                </c:pt>
                <c:pt idx="2">
                  <c:v>40</c:v>
                </c:pt>
                <c:pt idx="3">
                  <c:v>26.9</c:v>
                </c:pt>
                <c:pt idx="4">
                  <c:v>25.6</c:v>
                </c:pt>
                <c:pt idx="5">
                  <c:v>10.6</c:v>
                </c:pt>
              </c:numCache>
            </c:numRef>
          </c:val>
          <c:extLst>
            <c:ext xmlns:c16="http://schemas.microsoft.com/office/drawing/2014/chart" uri="{C3380CC4-5D6E-409C-BE32-E72D297353CC}">
              <c16:uniqueId val="{00000000-5BBB-F34F-889C-0854E8B6D9BB}"/>
            </c:ext>
          </c:extLst>
        </c:ser>
        <c:dLbls>
          <c:showLegendKey val="0"/>
          <c:showVal val="0"/>
          <c:showCatName val="0"/>
          <c:showSerName val="0"/>
          <c:showPercent val="0"/>
          <c:showBubbleSize val="0"/>
        </c:dLbls>
        <c:gapWidth val="219"/>
        <c:overlap val="-27"/>
        <c:axId val="241794896"/>
        <c:axId val="241795288"/>
      </c:barChart>
      <c:catAx>
        <c:axId val="241794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241795288"/>
        <c:crosses val="autoZero"/>
        <c:auto val="1"/>
        <c:lblAlgn val="ctr"/>
        <c:lblOffset val="100"/>
        <c:noMultiLvlLbl val="0"/>
      </c:catAx>
      <c:valAx>
        <c:axId val="241795288"/>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cs-CZ" b="0"/>
                  <a:t>Podíl respondentů</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24179489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List2!$B$4</c:f>
              <c:strCache>
                <c:ptCount val="1"/>
                <c:pt idx="0">
                  <c:v>Ano, pokud by se zlepšila fyzická dostupnost tohoto typu prodeje</c:v>
                </c:pt>
              </c:strCache>
            </c:strRef>
          </c:tx>
          <c:spPr>
            <a:solidFill>
              <a:schemeClr val="accent2">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List2!$C$3:$G$3</c:f>
              <c:strCache>
                <c:ptCount val="5"/>
                <c:pt idx="0">
                  <c:v>Malé prodejny</c:v>
                </c:pt>
                <c:pt idx="1">
                  <c:v>Specializované prodejny</c:v>
                </c:pt>
                <c:pt idx="2">
                  <c:v>Farmářské trhy</c:v>
                </c:pt>
                <c:pt idx="3">
                  <c:v>E-shopy s potravinami</c:v>
                </c:pt>
                <c:pt idx="4">
                  <c:v>V místě výroby</c:v>
                </c:pt>
              </c:strCache>
            </c:strRef>
          </c:cat>
          <c:val>
            <c:numRef>
              <c:f>List2!$C$4:$G$4</c:f>
              <c:numCache>
                <c:formatCode>General</c:formatCode>
                <c:ptCount val="5"/>
                <c:pt idx="0">
                  <c:v>16</c:v>
                </c:pt>
                <c:pt idx="1">
                  <c:v>33</c:v>
                </c:pt>
                <c:pt idx="2">
                  <c:v>41</c:v>
                </c:pt>
                <c:pt idx="3">
                  <c:v>14</c:v>
                </c:pt>
                <c:pt idx="4">
                  <c:v>38</c:v>
                </c:pt>
              </c:numCache>
            </c:numRef>
          </c:val>
          <c:extLst>
            <c:ext xmlns:c16="http://schemas.microsoft.com/office/drawing/2014/chart" uri="{C3380CC4-5D6E-409C-BE32-E72D297353CC}">
              <c16:uniqueId val="{00000000-30B9-DC46-9ECF-1C2CE1A4195A}"/>
            </c:ext>
          </c:extLst>
        </c:ser>
        <c:ser>
          <c:idx val="1"/>
          <c:order val="1"/>
          <c:tx>
            <c:strRef>
              <c:f>List2!$B$5</c:f>
              <c:strCache>
                <c:ptCount val="1"/>
                <c:pt idx="0">
                  <c:v>Ano, pokud bych dost/a více informací o výrobci</c:v>
                </c:pt>
              </c:strCache>
            </c:strRef>
          </c:tx>
          <c:spPr>
            <a:solidFill>
              <a:schemeClr val="accent4">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List2!$C$3:$G$3</c:f>
              <c:strCache>
                <c:ptCount val="5"/>
                <c:pt idx="0">
                  <c:v>Malé prodejny</c:v>
                </c:pt>
                <c:pt idx="1">
                  <c:v>Specializované prodejny</c:v>
                </c:pt>
                <c:pt idx="2">
                  <c:v>Farmářské trhy</c:v>
                </c:pt>
                <c:pt idx="3">
                  <c:v>E-shopy s potravinami</c:v>
                </c:pt>
                <c:pt idx="4">
                  <c:v>V místě výroby</c:v>
                </c:pt>
              </c:strCache>
            </c:strRef>
          </c:cat>
          <c:val>
            <c:numRef>
              <c:f>List2!$C$5:$G$5</c:f>
              <c:numCache>
                <c:formatCode>General</c:formatCode>
                <c:ptCount val="5"/>
                <c:pt idx="0">
                  <c:v>9</c:v>
                </c:pt>
                <c:pt idx="1">
                  <c:v>13</c:v>
                </c:pt>
                <c:pt idx="2">
                  <c:v>11</c:v>
                </c:pt>
                <c:pt idx="3">
                  <c:v>11</c:v>
                </c:pt>
                <c:pt idx="4">
                  <c:v>13</c:v>
                </c:pt>
              </c:numCache>
            </c:numRef>
          </c:val>
          <c:extLst>
            <c:ext xmlns:c16="http://schemas.microsoft.com/office/drawing/2014/chart" uri="{C3380CC4-5D6E-409C-BE32-E72D297353CC}">
              <c16:uniqueId val="{00000001-30B9-DC46-9ECF-1C2CE1A4195A}"/>
            </c:ext>
          </c:extLst>
        </c:ser>
        <c:ser>
          <c:idx val="2"/>
          <c:order val="2"/>
          <c:tx>
            <c:strRef>
              <c:f>List2!$B$6</c:f>
              <c:strCache>
                <c:ptCount val="1"/>
                <c:pt idx="0">
                  <c:v>Ne, neměnil/a bych své chování</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List2!$C$3:$G$3</c:f>
              <c:strCache>
                <c:ptCount val="5"/>
                <c:pt idx="0">
                  <c:v>Malé prodejny</c:v>
                </c:pt>
                <c:pt idx="1">
                  <c:v>Specializované prodejny</c:v>
                </c:pt>
                <c:pt idx="2">
                  <c:v>Farmářské trhy</c:v>
                </c:pt>
                <c:pt idx="3">
                  <c:v>E-shopy s potravinami</c:v>
                </c:pt>
                <c:pt idx="4">
                  <c:v>V místě výroby</c:v>
                </c:pt>
              </c:strCache>
            </c:strRef>
          </c:cat>
          <c:val>
            <c:numRef>
              <c:f>List2!$C$6:$G$6</c:f>
              <c:numCache>
                <c:formatCode>General</c:formatCode>
                <c:ptCount val="5"/>
                <c:pt idx="0">
                  <c:v>75</c:v>
                </c:pt>
                <c:pt idx="1">
                  <c:v>55</c:v>
                </c:pt>
                <c:pt idx="2">
                  <c:v>48</c:v>
                </c:pt>
                <c:pt idx="3">
                  <c:v>75</c:v>
                </c:pt>
                <c:pt idx="4">
                  <c:v>49</c:v>
                </c:pt>
              </c:numCache>
            </c:numRef>
          </c:val>
          <c:extLst>
            <c:ext xmlns:c16="http://schemas.microsoft.com/office/drawing/2014/chart" uri="{C3380CC4-5D6E-409C-BE32-E72D297353CC}">
              <c16:uniqueId val="{00000002-30B9-DC46-9ECF-1C2CE1A4195A}"/>
            </c:ext>
          </c:extLst>
        </c:ser>
        <c:dLbls>
          <c:dLblPos val="ctr"/>
          <c:showLegendKey val="0"/>
          <c:showVal val="1"/>
          <c:showCatName val="0"/>
          <c:showSerName val="0"/>
          <c:showPercent val="0"/>
          <c:showBubbleSize val="0"/>
        </c:dLbls>
        <c:gapWidth val="150"/>
        <c:overlap val="100"/>
        <c:axId val="524262208"/>
        <c:axId val="524259584"/>
      </c:barChart>
      <c:catAx>
        <c:axId val="524262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24259584"/>
        <c:crosses val="autoZero"/>
        <c:auto val="1"/>
        <c:lblAlgn val="ctr"/>
        <c:lblOffset val="100"/>
        <c:noMultiLvlLbl val="0"/>
      </c:catAx>
      <c:valAx>
        <c:axId val="524259584"/>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24262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List3!$B$4</c:f>
              <c:strCache>
                <c:ptCount val="1"/>
                <c:pt idx="0">
                  <c:v>Nad 30 %</c:v>
                </c:pt>
              </c:strCache>
            </c:strRef>
          </c:tx>
          <c:spPr>
            <a:solidFill>
              <a:srgbClr val="FF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List3!$C$3:$F$3</c:f>
              <c:strCache>
                <c:ptCount val="4"/>
                <c:pt idx="0">
                  <c:v>Potraviny ze surovin, u nichž byly sníženy chemické postřiky v zemědělství</c:v>
                </c:pt>
                <c:pt idx="1">
                  <c:v>Potraviny ze surovin, u nichž byly použity šetrné přístupy k chovu zvířat </c:v>
                </c:pt>
                <c:pt idx="2">
                  <c:v>Potraviny ze surovin, u nichž byly použity preventivní přípravky proti chorobám zvířat , aby se omezila aplikace antibiotik</c:v>
                </c:pt>
                <c:pt idx="3">
                  <c:v>Vejce z jiných chovů než klecových</c:v>
                </c:pt>
              </c:strCache>
            </c:strRef>
          </c:cat>
          <c:val>
            <c:numRef>
              <c:f>List3!$C$4:$F$4</c:f>
              <c:numCache>
                <c:formatCode>General</c:formatCode>
                <c:ptCount val="4"/>
                <c:pt idx="0">
                  <c:v>14</c:v>
                </c:pt>
                <c:pt idx="1">
                  <c:v>15</c:v>
                </c:pt>
                <c:pt idx="2">
                  <c:v>10</c:v>
                </c:pt>
                <c:pt idx="3">
                  <c:v>16</c:v>
                </c:pt>
              </c:numCache>
            </c:numRef>
          </c:val>
          <c:extLst>
            <c:ext xmlns:c16="http://schemas.microsoft.com/office/drawing/2014/chart" uri="{C3380CC4-5D6E-409C-BE32-E72D297353CC}">
              <c16:uniqueId val="{00000000-8004-9C4C-9952-A9C679730944}"/>
            </c:ext>
          </c:extLst>
        </c:ser>
        <c:ser>
          <c:idx val="1"/>
          <c:order val="1"/>
          <c:tx>
            <c:strRef>
              <c:f>List3!$B$5</c:f>
              <c:strCache>
                <c:ptCount val="1"/>
                <c:pt idx="0">
                  <c:v>21 až 30 %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List3!$C$3:$F$3</c:f>
              <c:strCache>
                <c:ptCount val="4"/>
                <c:pt idx="0">
                  <c:v>Potraviny ze surovin, u nichž byly sníženy chemické postřiky v zemědělství</c:v>
                </c:pt>
                <c:pt idx="1">
                  <c:v>Potraviny ze surovin, u nichž byly použity šetrné přístupy k chovu zvířat </c:v>
                </c:pt>
                <c:pt idx="2">
                  <c:v>Potraviny ze surovin, u nichž byly použity preventivní přípravky proti chorobám zvířat , aby se omezila aplikace antibiotik</c:v>
                </c:pt>
                <c:pt idx="3">
                  <c:v>Vejce z jiných chovů než klecových</c:v>
                </c:pt>
              </c:strCache>
            </c:strRef>
          </c:cat>
          <c:val>
            <c:numRef>
              <c:f>List3!$C$5:$F$5</c:f>
              <c:numCache>
                <c:formatCode>General</c:formatCode>
                <c:ptCount val="4"/>
                <c:pt idx="0">
                  <c:v>13</c:v>
                </c:pt>
                <c:pt idx="1">
                  <c:v>12</c:v>
                </c:pt>
                <c:pt idx="2">
                  <c:v>10</c:v>
                </c:pt>
                <c:pt idx="3">
                  <c:v>11</c:v>
                </c:pt>
              </c:numCache>
            </c:numRef>
          </c:val>
          <c:extLst>
            <c:ext xmlns:c16="http://schemas.microsoft.com/office/drawing/2014/chart" uri="{C3380CC4-5D6E-409C-BE32-E72D297353CC}">
              <c16:uniqueId val="{00000001-8004-9C4C-9952-A9C679730944}"/>
            </c:ext>
          </c:extLst>
        </c:ser>
        <c:ser>
          <c:idx val="2"/>
          <c:order val="2"/>
          <c:tx>
            <c:strRef>
              <c:f>List3!$B$6</c:f>
              <c:strCache>
                <c:ptCount val="1"/>
                <c:pt idx="0">
                  <c:v>10 až 20 %</c:v>
                </c:pt>
              </c:strCache>
            </c:strRef>
          </c:tx>
          <c:spPr>
            <a:solidFill>
              <a:srgbClr val="FFC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List3!$C$3:$F$3</c:f>
              <c:strCache>
                <c:ptCount val="4"/>
                <c:pt idx="0">
                  <c:v>Potraviny ze surovin, u nichž byly sníženy chemické postřiky v zemědělství</c:v>
                </c:pt>
                <c:pt idx="1">
                  <c:v>Potraviny ze surovin, u nichž byly použity šetrné přístupy k chovu zvířat </c:v>
                </c:pt>
                <c:pt idx="2">
                  <c:v>Potraviny ze surovin, u nichž byly použity preventivní přípravky proti chorobám zvířat , aby se omezila aplikace antibiotik</c:v>
                </c:pt>
                <c:pt idx="3">
                  <c:v>Vejce z jiných chovů než klecových</c:v>
                </c:pt>
              </c:strCache>
            </c:strRef>
          </c:cat>
          <c:val>
            <c:numRef>
              <c:f>List3!$C$6:$F$6</c:f>
              <c:numCache>
                <c:formatCode>General</c:formatCode>
                <c:ptCount val="4"/>
                <c:pt idx="0">
                  <c:v>25</c:v>
                </c:pt>
                <c:pt idx="1">
                  <c:v>24</c:v>
                </c:pt>
                <c:pt idx="2">
                  <c:v>23</c:v>
                </c:pt>
                <c:pt idx="3">
                  <c:v>20</c:v>
                </c:pt>
              </c:numCache>
            </c:numRef>
          </c:val>
          <c:extLst>
            <c:ext xmlns:c16="http://schemas.microsoft.com/office/drawing/2014/chart" uri="{C3380CC4-5D6E-409C-BE32-E72D297353CC}">
              <c16:uniqueId val="{00000002-8004-9C4C-9952-A9C679730944}"/>
            </c:ext>
          </c:extLst>
        </c:ser>
        <c:ser>
          <c:idx val="3"/>
          <c:order val="3"/>
          <c:tx>
            <c:strRef>
              <c:f>List3!$B$7</c:f>
              <c:strCache>
                <c:ptCount val="1"/>
                <c:pt idx="0">
                  <c:v>Do 10 %</c:v>
                </c:pt>
              </c:strCache>
            </c:strRef>
          </c:tx>
          <c:spPr>
            <a:solidFill>
              <a:schemeClr val="accent4">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List3!$C$3:$F$3</c:f>
              <c:strCache>
                <c:ptCount val="4"/>
                <c:pt idx="0">
                  <c:v>Potraviny ze surovin, u nichž byly sníženy chemické postřiky v zemědělství</c:v>
                </c:pt>
                <c:pt idx="1">
                  <c:v>Potraviny ze surovin, u nichž byly použity šetrné přístupy k chovu zvířat </c:v>
                </c:pt>
                <c:pt idx="2">
                  <c:v>Potraviny ze surovin, u nichž byly použity preventivní přípravky proti chorobám zvířat , aby se omezila aplikace antibiotik</c:v>
                </c:pt>
                <c:pt idx="3">
                  <c:v>Vejce z jiných chovů než klecových</c:v>
                </c:pt>
              </c:strCache>
            </c:strRef>
          </c:cat>
          <c:val>
            <c:numRef>
              <c:f>List3!$C$7:$F$7</c:f>
              <c:numCache>
                <c:formatCode>General</c:formatCode>
                <c:ptCount val="4"/>
                <c:pt idx="0">
                  <c:v>30</c:v>
                </c:pt>
                <c:pt idx="1">
                  <c:v>29</c:v>
                </c:pt>
                <c:pt idx="2">
                  <c:v>28</c:v>
                </c:pt>
                <c:pt idx="3">
                  <c:v>27</c:v>
                </c:pt>
              </c:numCache>
            </c:numRef>
          </c:val>
          <c:extLst>
            <c:ext xmlns:c16="http://schemas.microsoft.com/office/drawing/2014/chart" uri="{C3380CC4-5D6E-409C-BE32-E72D297353CC}">
              <c16:uniqueId val="{00000003-8004-9C4C-9952-A9C679730944}"/>
            </c:ext>
          </c:extLst>
        </c:ser>
        <c:ser>
          <c:idx val="4"/>
          <c:order val="4"/>
          <c:tx>
            <c:strRef>
              <c:f>List3!$B$8</c:f>
              <c:strCache>
                <c:ptCount val="1"/>
                <c:pt idx="0">
                  <c:v>Nemám zájem</c:v>
                </c:pt>
              </c:strCache>
            </c:strRef>
          </c:tx>
          <c:spPr>
            <a:solidFill>
              <a:schemeClr val="accent5">
                <a:lumMod val="20000"/>
                <a:lumOff val="8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List3!$C$3:$F$3</c:f>
              <c:strCache>
                <c:ptCount val="4"/>
                <c:pt idx="0">
                  <c:v>Potraviny ze surovin, u nichž byly sníženy chemické postřiky v zemědělství</c:v>
                </c:pt>
                <c:pt idx="1">
                  <c:v>Potraviny ze surovin, u nichž byly použity šetrné přístupy k chovu zvířat </c:v>
                </c:pt>
                <c:pt idx="2">
                  <c:v>Potraviny ze surovin, u nichž byly použity preventivní přípravky proti chorobám zvířat , aby se omezila aplikace antibiotik</c:v>
                </c:pt>
                <c:pt idx="3">
                  <c:v>Vejce z jiných chovů než klecových</c:v>
                </c:pt>
              </c:strCache>
            </c:strRef>
          </c:cat>
          <c:val>
            <c:numRef>
              <c:f>List3!$C$8:$F$8</c:f>
              <c:numCache>
                <c:formatCode>General</c:formatCode>
                <c:ptCount val="4"/>
                <c:pt idx="0">
                  <c:v>18</c:v>
                </c:pt>
                <c:pt idx="1">
                  <c:v>20</c:v>
                </c:pt>
                <c:pt idx="2">
                  <c:v>29</c:v>
                </c:pt>
                <c:pt idx="3">
                  <c:v>26</c:v>
                </c:pt>
              </c:numCache>
            </c:numRef>
          </c:val>
          <c:extLst>
            <c:ext xmlns:c16="http://schemas.microsoft.com/office/drawing/2014/chart" uri="{C3380CC4-5D6E-409C-BE32-E72D297353CC}">
              <c16:uniqueId val="{00000004-8004-9C4C-9952-A9C679730944}"/>
            </c:ext>
          </c:extLst>
        </c:ser>
        <c:dLbls>
          <c:dLblPos val="ctr"/>
          <c:showLegendKey val="0"/>
          <c:showVal val="1"/>
          <c:showCatName val="0"/>
          <c:showSerName val="0"/>
          <c:showPercent val="0"/>
          <c:showBubbleSize val="0"/>
        </c:dLbls>
        <c:gapWidth val="150"/>
        <c:overlap val="100"/>
        <c:axId val="458796712"/>
        <c:axId val="458790152"/>
      </c:barChart>
      <c:catAx>
        <c:axId val="458796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458790152"/>
        <c:crosses val="autoZero"/>
        <c:auto val="1"/>
        <c:lblAlgn val="ctr"/>
        <c:lblOffset val="100"/>
        <c:noMultiLvlLbl val="0"/>
      </c:catAx>
      <c:valAx>
        <c:axId val="458790152"/>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458796712"/>
        <c:crosses val="autoZero"/>
        <c:crossBetween val="between"/>
      </c:valAx>
      <c:spPr>
        <a:noFill/>
        <a:ln>
          <a:noFill/>
        </a:ln>
        <a:effectLst/>
      </c:spPr>
    </c:plotArea>
    <c:legend>
      <c:legendPos val="b"/>
      <c:layout>
        <c:manualLayout>
          <c:xMode val="edge"/>
          <c:yMode val="edge"/>
          <c:x val="5.4210411198600178E-2"/>
          <c:y val="0.88748505025822577"/>
          <c:w val="0.8915791776027997"/>
          <c:h val="8.473745866646367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List4!$B$5</c:f>
              <c:strCache>
                <c:ptCount val="1"/>
                <c:pt idx="0">
                  <c:v>Nepoznává</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List4!$C$4:$I$4</c:f>
              <c:strCache>
                <c:ptCount val="7"/>
                <c:pt idx="0">
                  <c:v>Bez GMO</c:v>
                </c:pt>
                <c:pt idx="1">
                  <c:v>Potraviny bez zbytečné chemie</c:v>
                </c:pt>
                <c:pt idx="2">
                  <c:v>Kontrolovaná zelenina IPZ</c:v>
                </c:pt>
                <c:pt idx="3">
                  <c:v>Ovoce SISPO</c:v>
                </c:pt>
                <c:pt idx="4">
                  <c:v>Kvalitní české mléko Q CZ</c:v>
                </c:pt>
                <c:pt idx="5">
                  <c:v>Biopotraviny</c:v>
                </c:pt>
                <c:pt idx="6">
                  <c:v>Klasa</c:v>
                </c:pt>
              </c:strCache>
            </c:strRef>
          </c:cat>
          <c:val>
            <c:numRef>
              <c:f>List4!$C$5:$I$5</c:f>
              <c:numCache>
                <c:formatCode>General</c:formatCode>
                <c:ptCount val="7"/>
                <c:pt idx="0">
                  <c:v>83</c:v>
                </c:pt>
                <c:pt idx="1">
                  <c:v>96</c:v>
                </c:pt>
                <c:pt idx="2">
                  <c:v>93</c:v>
                </c:pt>
                <c:pt idx="3">
                  <c:v>97</c:v>
                </c:pt>
                <c:pt idx="4">
                  <c:v>94</c:v>
                </c:pt>
                <c:pt idx="5">
                  <c:v>71</c:v>
                </c:pt>
                <c:pt idx="6">
                  <c:v>5</c:v>
                </c:pt>
              </c:numCache>
            </c:numRef>
          </c:val>
          <c:extLst>
            <c:ext xmlns:c16="http://schemas.microsoft.com/office/drawing/2014/chart" uri="{C3380CC4-5D6E-409C-BE32-E72D297353CC}">
              <c16:uniqueId val="{00000000-A29E-F745-AAFC-1FA824D75663}"/>
            </c:ext>
          </c:extLst>
        </c:ser>
        <c:ser>
          <c:idx val="1"/>
          <c:order val="1"/>
          <c:tx>
            <c:strRef>
              <c:f>List4!$B$6</c:f>
              <c:strCache>
                <c:ptCount val="1"/>
                <c:pt idx="0">
                  <c:v>Poznává</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List4!$C$4:$I$4</c:f>
              <c:strCache>
                <c:ptCount val="7"/>
                <c:pt idx="0">
                  <c:v>Bez GMO</c:v>
                </c:pt>
                <c:pt idx="1">
                  <c:v>Potraviny bez zbytečné chemie</c:v>
                </c:pt>
                <c:pt idx="2">
                  <c:v>Kontrolovaná zelenina IPZ</c:v>
                </c:pt>
                <c:pt idx="3">
                  <c:v>Ovoce SISPO</c:v>
                </c:pt>
                <c:pt idx="4">
                  <c:v>Kvalitní české mléko Q CZ</c:v>
                </c:pt>
                <c:pt idx="5">
                  <c:v>Biopotraviny</c:v>
                </c:pt>
                <c:pt idx="6">
                  <c:v>Klasa</c:v>
                </c:pt>
              </c:strCache>
            </c:strRef>
          </c:cat>
          <c:val>
            <c:numRef>
              <c:f>List4!$C$6:$I$6</c:f>
              <c:numCache>
                <c:formatCode>General</c:formatCode>
                <c:ptCount val="7"/>
                <c:pt idx="0">
                  <c:v>17</c:v>
                </c:pt>
                <c:pt idx="1">
                  <c:v>4</c:v>
                </c:pt>
                <c:pt idx="2">
                  <c:v>7</c:v>
                </c:pt>
                <c:pt idx="3">
                  <c:v>3</c:v>
                </c:pt>
                <c:pt idx="4">
                  <c:v>6</c:v>
                </c:pt>
                <c:pt idx="5">
                  <c:v>29</c:v>
                </c:pt>
                <c:pt idx="6">
                  <c:v>95</c:v>
                </c:pt>
              </c:numCache>
            </c:numRef>
          </c:val>
          <c:extLst>
            <c:ext xmlns:c16="http://schemas.microsoft.com/office/drawing/2014/chart" uri="{C3380CC4-5D6E-409C-BE32-E72D297353CC}">
              <c16:uniqueId val="{00000001-A29E-F745-AAFC-1FA824D75663}"/>
            </c:ext>
          </c:extLst>
        </c:ser>
        <c:dLbls>
          <c:showLegendKey val="0"/>
          <c:showVal val="0"/>
          <c:showCatName val="0"/>
          <c:showSerName val="0"/>
          <c:showPercent val="0"/>
          <c:showBubbleSize val="0"/>
        </c:dLbls>
        <c:gapWidth val="150"/>
        <c:overlap val="100"/>
        <c:axId val="517413312"/>
        <c:axId val="517413640"/>
      </c:barChart>
      <c:catAx>
        <c:axId val="517413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17413640"/>
        <c:crosses val="autoZero"/>
        <c:auto val="1"/>
        <c:lblAlgn val="ctr"/>
        <c:lblOffset val="100"/>
        <c:noMultiLvlLbl val="0"/>
      </c:catAx>
      <c:valAx>
        <c:axId val="517413640"/>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17413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'E:\SZP\Vertikála\KDŘ\[GRAFY nákupní místo dle druhu potr. 2010 a 2017_rev.xlsx]graf hl. nakupni misto - maso'!$A$2</c:f>
              <c:strCache>
                <c:ptCount val="1"/>
                <c:pt idx="0">
                  <c:v>Hypermarket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'[1]graf hl. nakupni misto - maso'!$B$1:$C$1</c:f>
              <c:numCache>
                <c:formatCode>General</c:formatCode>
                <c:ptCount val="2"/>
                <c:pt idx="0">
                  <c:v>2010</c:v>
                </c:pt>
                <c:pt idx="1">
                  <c:v>2017</c:v>
                </c:pt>
              </c:numCache>
            </c:numRef>
          </c:cat>
          <c:val>
            <c:numRef>
              <c:f>'[1]graf hl. nakupni misto - maso'!$B$2:$C$2</c:f>
              <c:numCache>
                <c:formatCode>General</c:formatCode>
                <c:ptCount val="2"/>
                <c:pt idx="0">
                  <c:v>36</c:v>
                </c:pt>
                <c:pt idx="1">
                  <c:v>44</c:v>
                </c:pt>
              </c:numCache>
            </c:numRef>
          </c:val>
          <c:extLst>
            <c:ext xmlns:c16="http://schemas.microsoft.com/office/drawing/2014/chart" uri="{C3380CC4-5D6E-409C-BE32-E72D297353CC}">
              <c16:uniqueId val="{00000000-BA91-9142-BD0D-AF142415AA12}"/>
            </c:ext>
          </c:extLst>
        </c:ser>
        <c:ser>
          <c:idx val="1"/>
          <c:order val="1"/>
          <c:tx>
            <c:strRef>
              <c:f>'E:\SZP\Vertikála\KDŘ\[GRAFY nákupní místo dle druhu potr. 2010 a 2017_rev.xlsx]graf hl. nakupni misto - maso'!$A$3</c:f>
              <c:strCache>
                <c:ptCount val="1"/>
                <c:pt idx="0">
                  <c:v>Supermarket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'[1]graf hl. nakupni misto - maso'!$B$1:$C$1</c:f>
              <c:numCache>
                <c:formatCode>General</c:formatCode>
                <c:ptCount val="2"/>
                <c:pt idx="0">
                  <c:v>2010</c:v>
                </c:pt>
                <c:pt idx="1">
                  <c:v>2017</c:v>
                </c:pt>
              </c:numCache>
            </c:numRef>
          </c:cat>
          <c:val>
            <c:numRef>
              <c:f>'[1]graf hl. nakupni misto - maso'!$B$3:$C$3</c:f>
              <c:numCache>
                <c:formatCode>General</c:formatCode>
                <c:ptCount val="2"/>
                <c:pt idx="0">
                  <c:v>13</c:v>
                </c:pt>
                <c:pt idx="1">
                  <c:v>12</c:v>
                </c:pt>
              </c:numCache>
            </c:numRef>
          </c:val>
          <c:extLst>
            <c:ext xmlns:c16="http://schemas.microsoft.com/office/drawing/2014/chart" uri="{C3380CC4-5D6E-409C-BE32-E72D297353CC}">
              <c16:uniqueId val="{00000001-BA91-9142-BD0D-AF142415AA12}"/>
            </c:ext>
          </c:extLst>
        </c:ser>
        <c:ser>
          <c:idx val="2"/>
          <c:order val="2"/>
          <c:tx>
            <c:strRef>
              <c:f>'E:\SZP\Vertikála\KDŘ\[GRAFY nákupní místo dle druhu potr. 2010 a 2017_rev.xlsx]graf hl. nakupni misto - maso'!$A$4</c:f>
              <c:strCache>
                <c:ptCount val="1"/>
                <c:pt idx="0">
                  <c:v>Diskont</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'[1]graf hl. nakupni misto - maso'!$B$1:$C$1</c:f>
              <c:numCache>
                <c:formatCode>General</c:formatCode>
                <c:ptCount val="2"/>
                <c:pt idx="0">
                  <c:v>2010</c:v>
                </c:pt>
                <c:pt idx="1">
                  <c:v>2017</c:v>
                </c:pt>
              </c:numCache>
            </c:numRef>
          </c:cat>
          <c:val>
            <c:numRef>
              <c:f>'[1]graf hl. nakupni misto - maso'!$B$4:$C$4</c:f>
              <c:numCache>
                <c:formatCode>General</c:formatCode>
                <c:ptCount val="2"/>
                <c:pt idx="0">
                  <c:v>8</c:v>
                </c:pt>
                <c:pt idx="1">
                  <c:v>16</c:v>
                </c:pt>
              </c:numCache>
            </c:numRef>
          </c:val>
          <c:extLst>
            <c:ext xmlns:c16="http://schemas.microsoft.com/office/drawing/2014/chart" uri="{C3380CC4-5D6E-409C-BE32-E72D297353CC}">
              <c16:uniqueId val="{00000002-BA91-9142-BD0D-AF142415AA12}"/>
            </c:ext>
          </c:extLst>
        </c:ser>
        <c:ser>
          <c:idx val="3"/>
          <c:order val="3"/>
          <c:tx>
            <c:strRef>
              <c:f>'E:\SZP\Vertikála\KDŘ\[GRAFY nákupní místo dle druhu potr. 2010 a 2017_rev.xlsx]graf hl. nakupni misto - maso'!$A$5</c:f>
              <c:strCache>
                <c:ptCount val="1"/>
                <c:pt idx="0">
                  <c:v>Malá samoobsluha</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'[1]graf hl. nakupni misto - maso'!$B$1:$C$1</c:f>
              <c:numCache>
                <c:formatCode>General</c:formatCode>
                <c:ptCount val="2"/>
                <c:pt idx="0">
                  <c:v>2010</c:v>
                </c:pt>
                <c:pt idx="1">
                  <c:v>2017</c:v>
                </c:pt>
              </c:numCache>
            </c:numRef>
          </c:cat>
          <c:val>
            <c:numRef>
              <c:f>'[1]graf hl. nakupni misto - maso'!$B$5:$C$5</c:f>
              <c:numCache>
                <c:formatCode>General</c:formatCode>
                <c:ptCount val="2"/>
                <c:pt idx="0">
                  <c:v>5</c:v>
                </c:pt>
                <c:pt idx="1">
                  <c:v>4</c:v>
                </c:pt>
              </c:numCache>
            </c:numRef>
          </c:val>
          <c:extLst>
            <c:ext xmlns:c16="http://schemas.microsoft.com/office/drawing/2014/chart" uri="{C3380CC4-5D6E-409C-BE32-E72D297353CC}">
              <c16:uniqueId val="{00000003-BA91-9142-BD0D-AF142415AA12}"/>
            </c:ext>
          </c:extLst>
        </c:ser>
        <c:ser>
          <c:idx val="4"/>
          <c:order val="4"/>
          <c:tx>
            <c:strRef>
              <c:f>'E:\SZP\Vertikála\KDŘ\[GRAFY nákupní místo dle druhu potr. 2010 a 2017_rev.xlsx]graf hl. nakupni misto - maso'!$A$6</c:f>
              <c:strCache>
                <c:ptCount val="1"/>
                <c:pt idx="0">
                  <c:v>Pultová/
Specializovaná 
prodejna</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'[1]graf hl. nakupni misto - maso'!$B$1:$C$1</c:f>
              <c:numCache>
                <c:formatCode>General</c:formatCode>
                <c:ptCount val="2"/>
                <c:pt idx="0">
                  <c:v>2010</c:v>
                </c:pt>
                <c:pt idx="1">
                  <c:v>2017</c:v>
                </c:pt>
              </c:numCache>
            </c:numRef>
          </c:cat>
          <c:val>
            <c:numRef>
              <c:f>'[1]graf hl. nakupni misto - maso'!$B$6:$C$6</c:f>
              <c:numCache>
                <c:formatCode>General</c:formatCode>
                <c:ptCount val="2"/>
                <c:pt idx="0">
                  <c:v>36</c:v>
                </c:pt>
                <c:pt idx="1">
                  <c:v>22</c:v>
                </c:pt>
              </c:numCache>
            </c:numRef>
          </c:val>
          <c:extLst>
            <c:ext xmlns:c16="http://schemas.microsoft.com/office/drawing/2014/chart" uri="{C3380CC4-5D6E-409C-BE32-E72D297353CC}">
              <c16:uniqueId val="{00000004-BA91-9142-BD0D-AF142415AA12}"/>
            </c:ext>
          </c:extLst>
        </c:ser>
        <c:ser>
          <c:idx val="5"/>
          <c:order val="5"/>
          <c:tx>
            <c:strRef>
              <c:f>'E:\SZP\Vertikála\KDŘ\[GRAFY nákupní místo dle druhu potr. 2010 a 2017_rev.xlsx]graf hl. nakupni misto - maso'!$A$7</c:f>
              <c:strCache>
                <c:ptCount val="1"/>
                <c:pt idx="0">
                  <c:v>Jinde</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'[1]graf hl. nakupni misto - maso'!$B$1:$C$1</c:f>
              <c:numCache>
                <c:formatCode>General</c:formatCode>
                <c:ptCount val="2"/>
                <c:pt idx="0">
                  <c:v>2010</c:v>
                </c:pt>
                <c:pt idx="1">
                  <c:v>2017</c:v>
                </c:pt>
              </c:numCache>
            </c:numRef>
          </c:cat>
          <c:val>
            <c:numRef>
              <c:f>'[1]graf hl. nakupni misto - maso'!$B$7:$C$7</c:f>
              <c:numCache>
                <c:formatCode>General</c:formatCode>
                <c:ptCount val="2"/>
                <c:pt idx="0">
                  <c:v>2</c:v>
                </c:pt>
                <c:pt idx="1">
                  <c:v>2</c:v>
                </c:pt>
              </c:numCache>
            </c:numRef>
          </c:val>
          <c:extLst>
            <c:ext xmlns:c16="http://schemas.microsoft.com/office/drawing/2014/chart" uri="{C3380CC4-5D6E-409C-BE32-E72D297353CC}">
              <c16:uniqueId val="{00000005-BA91-9142-BD0D-AF142415AA12}"/>
            </c:ext>
          </c:extLst>
        </c:ser>
        <c:dLbls>
          <c:showLegendKey val="0"/>
          <c:showVal val="1"/>
          <c:showCatName val="0"/>
          <c:showSerName val="0"/>
          <c:showPercent val="0"/>
          <c:showBubbleSize val="0"/>
        </c:dLbls>
        <c:gapWidth val="150"/>
        <c:overlap val="100"/>
        <c:axId val="142938608"/>
        <c:axId val="107555104"/>
      </c:barChart>
      <c:catAx>
        <c:axId val="142938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cs-CZ"/>
          </a:p>
        </c:txPr>
        <c:crossAx val="107555104"/>
        <c:crosses val="autoZero"/>
        <c:auto val="1"/>
        <c:lblAlgn val="ctr"/>
        <c:lblOffset val="100"/>
        <c:noMultiLvlLbl val="0"/>
      </c:catAx>
      <c:valAx>
        <c:axId val="107555104"/>
        <c:scaling>
          <c:orientation val="minMax"/>
        </c:scaling>
        <c:delete val="1"/>
        <c:axPos val="l"/>
        <c:numFmt formatCode="0%" sourceLinked="1"/>
        <c:majorTickMark val="none"/>
        <c:minorTickMark val="none"/>
        <c:tickLblPos val="none"/>
        <c:crossAx val="142938608"/>
        <c:crosses val="autoZero"/>
        <c:crossBetween val="between"/>
      </c:valAx>
      <c:spPr>
        <a:solidFill>
          <a:sysClr val="window" lastClr="FFFFFF"/>
        </a:solidFill>
        <a:ln>
          <a:noFill/>
        </a:ln>
        <a:effectLst/>
      </c:spPr>
    </c:plotArea>
    <c:legend>
      <c:legendPos val="b"/>
      <c:overlay val="0"/>
      <c:spPr>
        <a:solidFill>
          <a:sysClr val="window" lastClr="FFFFFF"/>
        </a:solid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cs-CZ"/>
        </a:p>
      </c:txPr>
    </c:legend>
    <c:plotVisOnly val="1"/>
    <c:dispBlanksAs val="gap"/>
    <c:showDLblsOverMax val="0"/>
  </c:chart>
  <c:spPr>
    <a:solidFill>
      <a:sysClr val="window" lastClr="FFFFFF"/>
    </a:solidFill>
    <a:ln w="9525" cap="flat" cmpd="sng" algn="ctr">
      <a:solidFill>
        <a:sysClr val="windowText" lastClr="000000"/>
      </a:solidFill>
      <a:round/>
    </a:ln>
    <a:effectLst/>
  </c:spPr>
  <c:txPr>
    <a:bodyPr/>
    <a:lstStyle/>
    <a:p>
      <a:pPr>
        <a:defRPr/>
      </a:pPr>
      <a:endParaRPr lang="cs-CZ"/>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250440917107582E-2"/>
          <c:y val="0"/>
          <c:w val="0.9514991181657888"/>
          <c:h val="0.70777029887393161"/>
        </c:manualLayout>
      </c:layout>
      <c:barChart>
        <c:barDir val="col"/>
        <c:grouping val="stacked"/>
        <c:varyColors val="0"/>
        <c:ser>
          <c:idx val="0"/>
          <c:order val="0"/>
          <c:tx>
            <c:strRef>
              <c:f>'E:\SZP\Vertikála\KDŘ\[GRAFY nákupní místo dle druhu potr. 2010 a 2017_rev.xlsx]graf nakupni misto - uzeniny '!$A$2</c:f>
              <c:strCache>
                <c:ptCount val="1"/>
                <c:pt idx="0">
                  <c:v>Hypermarket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'[1]graf nakupni misto - uzeniny '!$B$1:$C$1</c:f>
              <c:numCache>
                <c:formatCode>General</c:formatCode>
                <c:ptCount val="2"/>
                <c:pt idx="0">
                  <c:v>2013</c:v>
                </c:pt>
                <c:pt idx="1">
                  <c:v>2017</c:v>
                </c:pt>
              </c:numCache>
            </c:numRef>
          </c:cat>
          <c:val>
            <c:numRef>
              <c:f>'[1]graf nakupni misto - uzeniny '!$B$2:$C$2</c:f>
              <c:numCache>
                <c:formatCode>General</c:formatCode>
                <c:ptCount val="2"/>
                <c:pt idx="0">
                  <c:v>44</c:v>
                </c:pt>
                <c:pt idx="1">
                  <c:v>48</c:v>
                </c:pt>
              </c:numCache>
            </c:numRef>
          </c:val>
          <c:extLst>
            <c:ext xmlns:c16="http://schemas.microsoft.com/office/drawing/2014/chart" uri="{C3380CC4-5D6E-409C-BE32-E72D297353CC}">
              <c16:uniqueId val="{00000000-D7B8-8046-9FCB-77D56E89A040}"/>
            </c:ext>
          </c:extLst>
        </c:ser>
        <c:ser>
          <c:idx val="1"/>
          <c:order val="1"/>
          <c:tx>
            <c:strRef>
              <c:f>'E:\SZP\Vertikála\KDŘ\[GRAFY nákupní místo dle druhu potr. 2010 a 2017_rev.xlsx]graf nakupni misto - uzeniny '!$A$3</c:f>
              <c:strCache>
                <c:ptCount val="1"/>
                <c:pt idx="0">
                  <c:v>Supermarket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'[1]graf nakupni misto - uzeniny '!$B$1:$C$1</c:f>
              <c:numCache>
                <c:formatCode>General</c:formatCode>
                <c:ptCount val="2"/>
                <c:pt idx="0">
                  <c:v>2013</c:v>
                </c:pt>
                <c:pt idx="1">
                  <c:v>2017</c:v>
                </c:pt>
              </c:numCache>
            </c:numRef>
          </c:cat>
          <c:val>
            <c:numRef>
              <c:f>'[1]graf nakupni misto - uzeniny '!$B$3:$C$3</c:f>
              <c:numCache>
                <c:formatCode>General</c:formatCode>
                <c:ptCount val="2"/>
                <c:pt idx="0">
                  <c:v>20</c:v>
                </c:pt>
                <c:pt idx="1">
                  <c:v>17</c:v>
                </c:pt>
              </c:numCache>
            </c:numRef>
          </c:val>
          <c:extLst>
            <c:ext xmlns:c16="http://schemas.microsoft.com/office/drawing/2014/chart" uri="{C3380CC4-5D6E-409C-BE32-E72D297353CC}">
              <c16:uniqueId val="{00000001-D7B8-8046-9FCB-77D56E89A040}"/>
            </c:ext>
          </c:extLst>
        </c:ser>
        <c:ser>
          <c:idx val="2"/>
          <c:order val="2"/>
          <c:tx>
            <c:strRef>
              <c:f>'E:\SZP\Vertikála\KDŘ\[GRAFY nákupní místo dle druhu potr. 2010 a 2017_rev.xlsx]graf nakupni misto - uzeniny '!$A$4</c:f>
              <c:strCache>
                <c:ptCount val="1"/>
                <c:pt idx="0">
                  <c:v>Diskont</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'[1]graf nakupni misto - uzeniny '!$B$1:$C$1</c:f>
              <c:numCache>
                <c:formatCode>General</c:formatCode>
                <c:ptCount val="2"/>
                <c:pt idx="0">
                  <c:v>2013</c:v>
                </c:pt>
                <c:pt idx="1">
                  <c:v>2017</c:v>
                </c:pt>
              </c:numCache>
            </c:numRef>
          </c:cat>
          <c:val>
            <c:numRef>
              <c:f>'[1]graf nakupni misto - uzeniny '!$B$4:$C$4</c:f>
              <c:numCache>
                <c:formatCode>General</c:formatCode>
                <c:ptCount val="2"/>
                <c:pt idx="0">
                  <c:v>17</c:v>
                </c:pt>
                <c:pt idx="1">
                  <c:v>20</c:v>
                </c:pt>
              </c:numCache>
            </c:numRef>
          </c:val>
          <c:extLst>
            <c:ext xmlns:c16="http://schemas.microsoft.com/office/drawing/2014/chart" uri="{C3380CC4-5D6E-409C-BE32-E72D297353CC}">
              <c16:uniqueId val="{00000002-D7B8-8046-9FCB-77D56E89A040}"/>
            </c:ext>
          </c:extLst>
        </c:ser>
        <c:ser>
          <c:idx val="3"/>
          <c:order val="3"/>
          <c:tx>
            <c:strRef>
              <c:f>'E:\SZP\Vertikála\KDŘ\[GRAFY nákupní místo dle druhu potr. 2010 a 2017_rev.xlsx]graf nakupni misto - uzeniny '!$A$5</c:f>
              <c:strCache>
                <c:ptCount val="1"/>
                <c:pt idx="0">
                  <c:v>Malá samoobsluha</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'[1]graf nakupni misto - uzeniny '!$B$1:$C$1</c:f>
              <c:numCache>
                <c:formatCode>General</c:formatCode>
                <c:ptCount val="2"/>
                <c:pt idx="0">
                  <c:v>2013</c:v>
                </c:pt>
                <c:pt idx="1">
                  <c:v>2017</c:v>
                </c:pt>
              </c:numCache>
            </c:numRef>
          </c:cat>
          <c:val>
            <c:numRef>
              <c:f>'[1]graf nakupni misto - uzeniny '!$B$5:$C$5</c:f>
              <c:numCache>
                <c:formatCode>General</c:formatCode>
                <c:ptCount val="2"/>
                <c:pt idx="0">
                  <c:v>15</c:v>
                </c:pt>
                <c:pt idx="1">
                  <c:v>12</c:v>
                </c:pt>
              </c:numCache>
            </c:numRef>
          </c:val>
          <c:extLst>
            <c:ext xmlns:c16="http://schemas.microsoft.com/office/drawing/2014/chart" uri="{C3380CC4-5D6E-409C-BE32-E72D297353CC}">
              <c16:uniqueId val="{00000003-D7B8-8046-9FCB-77D56E89A040}"/>
            </c:ext>
          </c:extLst>
        </c:ser>
        <c:ser>
          <c:idx val="4"/>
          <c:order val="4"/>
          <c:tx>
            <c:strRef>
              <c:f>'E:\SZP\Vertikála\KDŘ\[GRAFY nákupní místo dle druhu potr. 2010 a 2017_rev.xlsx]graf nakupni misto - uzeniny '!$A$6</c:f>
              <c:strCache>
                <c:ptCount val="1"/>
                <c:pt idx="0">
                  <c:v>Pultová/
Specializovaná 
prodejna</c:v>
                </c:pt>
              </c:strCache>
            </c:strRef>
          </c:tx>
          <c:spPr>
            <a:solidFill>
              <a:schemeClr val="accent5"/>
            </a:solidFill>
            <a:ln>
              <a:noFill/>
            </a:ln>
            <a:effectLst/>
          </c:spPr>
          <c:invertIfNegative val="0"/>
          <c:dLbls>
            <c:dLbl>
              <c:idx val="0"/>
              <c:layout>
                <c:manualLayout>
                  <c:x val="-3.1911438725064129E-17"/>
                  <c:y val="-2.73348519362187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7B8-8046-9FCB-77D56E89A040}"/>
                </c:ext>
              </c:extLst>
            </c:dLbl>
            <c:dLbl>
              <c:idx val="1"/>
              <c:layout>
                <c:manualLayout>
                  <c:x val="-1.2764575490025671E-16"/>
                  <c:y val="-2.12604403948367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7B8-8046-9FCB-77D56E89A040}"/>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'[1]graf nakupni misto - uzeniny '!$B$1:$C$1</c:f>
              <c:numCache>
                <c:formatCode>General</c:formatCode>
                <c:ptCount val="2"/>
                <c:pt idx="0">
                  <c:v>2013</c:v>
                </c:pt>
                <c:pt idx="1">
                  <c:v>2017</c:v>
                </c:pt>
              </c:numCache>
            </c:numRef>
          </c:cat>
          <c:val>
            <c:numRef>
              <c:f>'[1]graf nakupni misto - uzeniny '!$B$6:$C$6</c:f>
              <c:numCache>
                <c:formatCode>General</c:formatCode>
                <c:ptCount val="2"/>
                <c:pt idx="0">
                  <c:v>4</c:v>
                </c:pt>
                <c:pt idx="1">
                  <c:v>2</c:v>
                </c:pt>
              </c:numCache>
            </c:numRef>
          </c:val>
          <c:extLst>
            <c:ext xmlns:c16="http://schemas.microsoft.com/office/drawing/2014/chart" uri="{C3380CC4-5D6E-409C-BE32-E72D297353CC}">
              <c16:uniqueId val="{00000006-D7B8-8046-9FCB-77D56E89A040}"/>
            </c:ext>
          </c:extLst>
        </c:ser>
        <c:dLbls>
          <c:showLegendKey val="0"/>
          <c:showVal val="0"/>
          <c:showCatName val="0"/>
          <c:showSerName val="0"/>
          <c:showPercent val="0"/>
          <c:showBubbleSize val="0"/>
        </c:dLbls>
        <c:gapWidth val="150"/>
        <c:overlap val="100"/>
        <c:axId val="143215304"/>
        <c:axId val="143010592"/>
      </c:barChart>
      <c:catAx>
        <c:axId val="143215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cs-CZ"/>
          </a:p>
        </c:txPr>
        <c:crossAx val="143010592"/>
        <c:crosses val="autoZero"/>
        <c:auto val="1"/>
        <c:lblAlgn val="ctr"/>
        <c:lblOffset val="100"/>
        <c:noMultiLvlLbl val="0"/>
      </c:catAx>
      <c:valAx>
        <c:axId val="143010592"/>
        <c:scaling>
          <c:orientation val="minMax"/>
        </c:scaling>
        <c:delete val="1"/>
        <c:axPos val="l"/>
        <c:numFmt formatCode="General" sourceLinked="1"/>
        <c:majorTickMark val="none"/>
        <c:minorTickMark val="none"/>
        <c:tickLblPos val="none"/>
        <c:crossAx val="143215304"/>
        <c:crosses val="autoZero"/>
        <c:crossBetween val="between"/>
      </c:valAx>
      <c:spPr>
        <a:noFill/>
        <a:ln>
          <a:noFill/>
        </a:ln>
        <a:effectLst/>
      </c:spPr>
    </c:plotArea>
    <c:legend>
      <c:legendPos val="b"/>
      <c:layout>
        <c:manualLayout>
          <c:xMode val="edge"/>
          <c:yMode val="edge"/>
          <c:x val="0.05"/>
          <c:y val="0.78314786297469285"/>
          <c:w val="0.9"/>
          <c:h val="0.21685213702530817"/>
        </c:manualLayout>
      </c:layout>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cs-CZ"/>
        </a:p>
      </c:txPr>
    </c:legend>
    <c:plotVisOnly val="1"/>
    <c:dispBlanksAs val="gap"/>
    <c:showDLblsOverMax val="0"/>
  </c:chart>
  <c:spPr>
    <a:solidFill>
      <a:schemeClr val="bg1"/>
    </a:solidFill>
    <a:ln w="9525" cap="flat" cmpd="sng" algn="ctr">
      <a:solidFill>
        <a:sysClr val="windowText" lastClr="000000"/>
      </a:solidFill>
      <a:round/>
    </a:ln>
    <a:effectLst/>
  </c:spPr>
  <c:txPr>
    <a:bodyPr/>
    <a:lstStyle/>
    <a:p>
      <a:pPr>
        <a:defRPr/>
      </a:pPr>
      <a:endParaRPr lang="cs-CZ"/>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250440917107582E-2"/>
          <c:y val="3.3916335679279384E-3"/>
          <c:w val="0.9514991181657888"/>
          <c:h val="0.62793672914779453"/>
        </c:manualLayout>
      </c:layout>
      <c:barChart>
        <c:barDir val="col"/>
        <c:grouping val="stacked"/>
        <c:varyColors val="0"/>
        <c:ser>
          <c:idx val="0"/>
          <c:order val="0"/>
          <c:tx>
            <c:strRef>
              <c:f>'E:\SZP\Vertikála\KDŘ\[GRAFY nákupní místo dle druhu potr. 2010 a 2017_rev.xlsx]graf hl. nakupni misto - sýry'!$A$2</c:f>
              <c:strCache>
                <c:ptCount val="1"/>
                <c:pt idx="0">
                  <c:v>Hypermarket</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sýry'!$B$1:$C$1</c:f>
              <c:numCache>
                <c:formatCode>General</c:formatCode>
                <c:ptCount val="2"/>
                <c:pt idx="0">
                  <c:v>2010</c:v>
                </c:pt>
                <c:pt idx="1">
                  <c:v>2017</c:v>
                </c:pt>
              </c:numCache>
            </c:numRef>
          </c:cat>
          <c:val>
            <c:numRef>
              <c:f>'[1]graf hl. nakupni misto - sýry'!$B$2:$C$2</c:f>
              <c:numCache>
                <c:formatCode>General</c:formatCode>
                <c:ptCount val="2"/>
                <c:pt idx="0">
                  <c:v>42</c:v>
                </c:pt>
                <c:pt idx="1">
                  <c:v>47</c:v>
                </c:pt>
              </c:numCache>
            </c:numRef>
          </c:val>
          <c:extLst>
            <c:ext xmlns:c16="http://schemas.microsoft.com/office/drawing/2014/chart" uri="{C3380CC4-5D6E-409C-BE32-E72D297353CC}">
              <c16:uniqueId val="{00000000-FE89-364A-8704-78DF5C21F9A3}"/>
            </c:ext>
          </c:extLst>
        </c:ser>
        <c:ser>
          <c:idx val="1"/>
          <c:order val="1"/>
          <c:tx>
            <c:strRef>
              <c:f>'E:\SZP\Vertikála\KDŘ\[GRAFY nákupní místo dle druhu potr. 2010 a 2017_rev.xlsx]graf hl. nakupni misto - sýry'!$A$3</c:f>
              <c:strCache>
                <c:ptCount val="1"/>
                <c:pt idx="0">
                  <c:v>Supermarket</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sýry'!$B$1:$C$1</c:f>
              <c:numCache>
                <c:formatCode>General</c:formatCode>
                <c:ptCount val="2"/>
                <c:pt idx="0">
                  <c:v>2010</c:v>
                </c:pt>
                <c:pt idx="1">
                  <c:v>2017</c:v>
                </c:pt>
              </c:numCache>
            </c:numRef>
          </c:cat>
          <c:val>
            <c:numRef>
              <c:f>'[1]graf hl. nakupni misto - sýry'!$B$3:$C$3</c:f>
              <c:numCache>
                <c:formatCode>General</c:formatCode>
                <c:ptCount val="2"/>
                <c:pt idx="0">
                  <c:v>16</c:v>
                </c:pt>
                <c:pt idx="1">
                  <c:v>16</c:v>
                </c:pt>
              </c:numCache>
            </c:numRef>
          </c:val>
          <c:extLst>
            <c:ext xmlns:c16="http://schemas.microsoft.com/office/drawing/2014/chart" uri="{C3380CC4-5D6E-409C-BE32-E72D297353CC}">
              <c16:uniqueId val="{00000001-FE89-364A-8704-78DF5C21F9A3}"/>
            </c:ext>
          </c:extLst>
        </c:ser>
        <c:ser>
          <c:idx val="2"/>
          <c:order val="2"/>
          <c:tx>
            <c:strRef>
              <c:f>'E:\SZP\Vertikála\KDŘ\[GRAFY nákupní místo dle druhu potr. 2010 a 2017_rev.xlsx]graf hl. nakupni misto - sýry'!$A$4</c:f>
              <c:strCache>
                <c:ptCount val="1"/>
                <c:pt idx="0">
                  <c:v>Diskont</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sýry'!$B$1:$C$1</c:f>
              <c:numCache>
                <c:formatCode>General</c:formatCode>
                <c:ptCount val="2"/>
                <c:pt idx="0">
                  <c:v>2010</c:v>
                </c:pt>
                <c:pt idx="1">
                  <c:v>2017</c:v>
                </c:pt>
              </c:numCache>
            </c:numRef>
          </c:cat>
          <c:val>
            <c:numRef>
              <c:f>'[1]graf hl. nakupni misto - sýry'!$B$4:$C$4</c:f>
              <c:numCache>
                <c:formatCode>General</c:formatCode>
                <c:ptCount val="2"/>
                <c:pt idx="0">
                  <c:v>24</c:v>
                </c:pt>
                <c:pt idx="1">
                  <c:v>24</c:v>
                </c:pt>
              </c:numCache>
            </c:numRef>
          </c:val>
          <c:extLst>
            <c:ext xmlns:c16="http://schemas.microsoft.com/office/drawing/2014/chart" uri="{C3380CC4-5D6E-409C-BE32-E72D297353CC}">
              <c16:uniqueId val="{00000002-FE89-364A-8704-78DF5C21F9A3}"/>
            </c:ext>
          </c:extLst>
        </c:ser>
        <c:ser>
          <c:idx val="3"/>
          <c:order val="3"/>
          <c:tx>
            <c:strRef>
              <c:f>'E:\SZP\Vertikála\KDŘ\[GRAFY nákupní místo dle druhu potr. 2010 a 2017_rev.xlsx]graf hl. nakupni misto - sýry'!$A$5</c:f>
              <c:strCache>
                <c:ptCount val="1"/>
                <c:pt idx="0">
                  <c:v>Malá samoobsluha</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sýry'!$B$1:$C$1</c:f>
              <c:numCache>
                <c:formatCode>General</c:formatCode>
                <c:ptCount val="2"/>
                <c:pt idx="0">
                  <c:v>2010</c:v>
                </c:pt>
                <c:pt idx="1">
                  <c:v>2017</c:v>
                </c:pt>
              </c:numCache>
            </c:numRef>
          </c:cat>
          <c:val>
            <c:numRef>
              <c:f>'[1]graf hl. nakupni misto - sýry'!$B$5:$C$5</c:f>
              <c:numCache>
                <c:formatCode>General</c:formatCode>
                <c:ptCount val="2"/>
                <c:pt idx="0">
                  <c:v>15</c:v>
                </c:pt>
                <c:pt idx="1">
                  <c:v>10</c:v>
                </c:pt>
              </c:numCache>
            </c:numRef>
          </c:val>
          <c:extLst>
            <c:ext xmlns:c16="http://schemas.microsoft.com/office/drawing/2014/chart" uri="{C3380CC4-5D6E-409C-BE32-E72D297353CC}">
              <c16:uniqueId val="{00000003-FE89-364A-8704-78DF5C21F9A3}"/>
            </c:ext>
          </c:extLst>
        </c:ser>
        <c:ser>
          <c:idx val="4"/>
          <c:order val="4"/>
          <c:tx>
            <c:strRef>
              <c:f>'E:\SZP\Vertikála\KDŘ\[GRAFY nákupní místo dle druhu potr. 2010 a 2017_rev.xlsx]graf hl. nakupni misto - sýry'!$A$6</c:f>
              <c:strCache>
                <c:ptCount val="1"/>
                <c:pt idx="0">
                  <c:v>Pultová/
Specializovaná 
prodejna</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sýry'!$B$1:$C$1</c:f>
              <c:numCache>
                <c:formatCode>General</c:formatCode>
                <c:ptCount val="2"/>
                <c:pt idx="0">
                  <c:v>2010</c:v>
                </c:pt>
                <c:pt idx="1">
                  <c:v>2017</c:v>
                </c:pt>
              </c:numCache>
            </c:numRef>
          </c:cat>
          <c:val>
            <c:numRef>
              <c:f>'[1]graf hl. nakupni misto - sýry'!$B$6:$C$6</c:f>
              <c:numCache>
                <c:formatCode>General</c:formatCode>
                <c:ptCount val="2"/>
                <c:pt idx="0">
                  <c:v>0</c:v>
                </c:pt>
                <c:pt idx="1">
                  <c:v>1</c:v>
                </c:pt>
              </c:numCache>
            </c:numRef>
          </c:val>
          <c:extLst>
            <c:ext xmlns:c16="http://schemas.microsoft.com/office/drawing/2014/chart" uri="{C3380CC4-5D6E-409C-BE32-E72D297353CC}">
              <c16:uniqueId val="{00000004-FE89-364A-8704-78DF5C21F9A3}"/>
            </c:ext>
          </c:extLst>
        </c:ser>
        <c:ser>
          <c:idx val="5"/>
          <c:order val="5"/>
          <c:tx>
            <c:strRef>
              <c:f>'E:\SZP\Vertikála\KDŘ\[GRAFY nákupní místo dle druhu potr. 2010 a 2017_rev.xlsx]graf hl. nakupni misto - sýry'!$A$7</c:f>
              <c:strCache>
                <c:ptCount val="1"/>
                <c:pt idx="0">
                  <c:v>Jinde</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dLbl>
              <c:idx val="0"/>
              <c:layout>
                <c:manualLayout>
                  <c:x val="-3.4970188931901206E-17"/>
                  <c:y val="-1.8264840182648429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E89-364A-8704-78DF5C21F9A3}"/>
                </c:ext>
              </c:extLst>
            </c:dLbl>
            <c:dLbl>
              <c:idx val="1"/>
              <c:layout>
                <c:manualLayout>
                  <c:x val="-1.3988075572760561E-16"/>
                  <c:y val="-2.1308980213089797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E89-364A-8704-78DF5C21F9A3}"/>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sýry'!$B$1:$C$1</c:f>
              <c:numCache>
                <c:formatCode>General</c:formatCode>
                <c:ptCount val="2"/>
                <c:pt idx="0">
                  <c:v>2010</c:v>
                </c:pt>
                <c:pt idx="1">
                  <c:v>2017</c:v>
                </c:pt>
              </c:numCache>
            </c:numRef>
          </c:cat>
          <c:val>
            <c:numRef>
              <c:f>'[1]graf hl. nakupni misto - sýry'!$B$7:$C$7</c:f>
              <c:numCache>
                <c:formatCode>General</c:formatCode>
                <c:ptCount val="2"/>
                <c:pt idx="0">
                  <c:v>2</c:v>
                </c:pt>
                <c:pt idx="1">
                  <c:v>1</c:v>
                </c:pt>
              </c:numCache>
            </c:numRef>
          </c:val>
          <c:extLst>
            <c:ext xmlns:c16="http://schemas.microsoft.com/office/drawing/2014/chart" uri="{C3380CC4-5D6E-409C-BE32-E72D297353CC}">
              <c16:uniqueId val="{00000007-FE89-364A-8704-78DF5C21F9A3}"/>
            </c:ext>
          </c:extLst>
        </c:ser>
        <c:dLbls>
          <c:showLegendKey val="0"/>
          <c:showVal val="1"/>
          <c:showCatName val="0"/>
          <c:showSerName val="0"/>
          <c:showPercent val="0"/>
          <c:showBubbleSize val="0"/>
        </c:dLbls>
        <c:gapWidth val="150"/>
        <c:overlap val="100"/>
        <c:axId val="144906104"/>
        <c:axId val="144907672"/>
      </c:barChart>
      <c:catAx>
        <c:axId val="14490610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cs-CZ"/>
          </a:p>
        </c:txPr>
        <c:crossAx val="144907672"/>
        <c:crosses val="autoZero"/>
        <c:auto val="1"/>
        <c:lblAlgn val="ctr"/>
        <c:lblOffset val="100"/>
        <c:noMultiLvlLbl val="0"/>
      </c:catAx>
      <c:valAx>
        <c:axId val="144907672"/>
        <c:scaling>
          <c:orientation val="minMax"/>
        </c:scaling>
        <c:delete val="1"/>
        <c:axPos val="l"/>
        <c:numFmt formatCode="General" sourceLinked="1"/>
        <c:majorTickMark val="none"/>
        <c:minorTickMark val="none"/>
        <c:tickLblPos val="none"/>
        <c:crossAx val="1449061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cs-CZ"/>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cs-CZ"/>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250440917107582E-2"/>
          <c:y val="0"/>
          <c:w val="0.9514991181657888"/>
          <c:h val="0.60819272590925821"/>
        </c:manualLayout>
      </c:layout>
      <c:barChart>
        <c:barDir val="col"/>
        <c:grouping val="stacked"/>
        <c:varyColors val="0"/>
        <c:ser>
          <c:idx val="0"/>
          <c:order val="0"/>
          <c:tx>
            <c:strRef>
              <c:f>'E:\SZP\Vertikála\KDŘ\[GRAFY nákupní místo dle druhu potr. 2010 a 2017_rev.xlsx]graf hl. nakupni misto - pečiv '!$A$2</c:f>
              <c:strCache>
                <c:ptCount val="1"/>
                <c:pt idx="0">
                  <c:v>Hypermarket</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pečiv '!$B$1:$C$1</c:f>
              <c:numCache>
                <c:formatCode>General</c:formatCode>
                <c:ptCount val="2"/>
                <c:pt idx="0">
                  <c:v>2010</c:v>
                </c:pt>
                <c:pt idx="1">
                  <c:v>2017</c:v>
                </c:pt>
              </c:numCache>
            </c:numRef>
          </c:cat>
          <c:val>
            <c:numRef>
              <c:f>'[1]graf hl. nakupni misto - pečiv '!$B$2:$C$2</c:f>
              <c:numCache>
                <c:formatCode>General</c:formatCode>
                <c:ptCount val="2"/>
                <c:pt idx="0">
                  <c:v>26</c:v>
                </c:pt>
                <c:pt idx="1">
                  <c:v>37</c:v>
                </c:pt>
              </c:numCache>
            </c:numRef>
          </c:val>
          <c:extLst>
            <c:ext xmlns:c16="http://schemas.microsoft.com/office/drawing/2014/chart" uri="{C3380CC4-5D6E-409C-BE32-E72D297353CC}">
              <c16:uniqueId val="{00000000-2F0A-D442-AA9D-9CDFDB0B82BF}"/>
            </c:ext>
          </c:extLst>
        </c:ser>
        <c:ser>
          <c:idx val="1"/>
          <c:order val="1"/>
          <c:tx>
            <c:strRef>
              <c:f>'E:\SZP\Vertikála\KDŘ\[GRAFY nákupní místo dle druhu potr. 2010 a 2017_rev.xlsx]graf hl. nakupni misto - pečiv '!$A$3</c:f>
              <c:strCache>
                <c:ptCount val="1"/>
                <c:pt idx="0">
                  <c:v>Supermarket</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pečiv '!$B$1:$C$1</c:f>
              <c:numCache>
                <c:formatCode>General</c:formatCode>
                <c:ptCount val="2"/>
                <c:pt idx="0">
                  <c:v>2010</c:v>
                </c:pt>
                <c:pt idx="1">
                  <c:v>2017</c:v>
                </c:pt>
              </c:numCache>
            </c:numRef>
          </c:cat>
          <c:val>
            <c:numRef>
              <c:f>'[1]graf hl. nakupni misto - pečiv '!$B$3:$C$3</c:f>
              <c:numCache>
                <c:formatCode>General</c:formatCode>
                <c:ptCount val="2"/>
                <c:pt idx="0">
                  <c:v>17</c:v>
                </c:pt>
                <c:pt idx="1">
                  <c:v>17</c:v>
                </c:pt>
              </c:numCache>
            </c:numRef>
          </c:val>
          <c:extLst>
            <c:ext xmlns:c16="http://schemas.microsoft.com/office/drawing/2014/chart" uri="{C3380CC4-5D6E-409C-BE32-E72D297353CC}">
              <c16:uniqueId val="{00000001-2F0A-D442-AA9D-9CDFDB0B82BF}"/>
            </c:ext>
          </c:extLst>
        </c:ser>
        <c:ser>
          <c:idx val="2"/>
          <c:order val="2"/>
          <c:tx>
            <c:strRef>
              <c:f>'E:\SZP\Vertikála\KDŘ\[GRAFY nákupní místo dle druhu potr. 2010 a 2017_rev.xlsx]graf hl. nakupni misto - pečiv '!$A$4</c:f>
              <c:strCache>
                <c:ptCount val="1"/>
                <c:pt idx="0">
                  <c:v>Diskont</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pečiv '!$B$1:$C$1</c:f>
              <c:numCache>
                <c:formatCode>General</c:formatCode>
                <c:ptCount val="2"/>
                <c:pt idx="0">
                  <c:v>2010</c:v>
                </c:pt>
                <c:pt idx="1">
                  <c:v>2017</c:v>
                </c:pt>
              </c:numCache>
            </c:numRef>
          </c:cat>
          <c:val>
            <c:numRef>
              <c:f>'[1]graf hl. nakupni misto - pečiv '!$B$4:$C$4</c:f>
              <c:numCache>
                <c:formatCode>General</c:formatCode>
                <c:ptCount val="2"/>
                <c:pt idx="0">
                  <c:v>22</c:v>
                </c:pt>
                <c:pt idx="1">
                  <c:v>24</c:v>
                </c:pt>
              </c:numCache>
            </c:numRef>
          </c:val>
          <c:extLst>
            <c:ext xmlns:c16="http://schemas.microsoft.com/office/drawing/2014/chart" uri="{C3380CC4-5D6E-409C-BE32-E72D297353CC}">
              <c16:uniqueId val="{00000002-2F0A-D442-AA9D-9CDFDB0B82BF}"/>
            </c:ext>
          </c:extLst>
        </c:ser>
        <c:ser>
          <c:idx val="3"/>
          <c:order val="3"/>
          <c:tx>
            <c:strRef>
              <c:f>'E:\SZP\Vertikála\KDŘ\[GRAFY nákupní místo dle druhu potr. 2010 a 2017_rev.xlsx]graf hl. nakupni misto - pečiv '!$A$5</c:f>
              <c:strCache>
                <c:ptCount val="1"/>
                <c:pt idx="0">
                  <c:v>Malá samoobsluha</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pečiv '!$B$1:$C$1</c:f>
              <c:numCache>
                <c:formatCode>General</c:formatCode>
                <c:ptCount val="2"/>
                <c:pt idx="0">
                  <c:v>2010</c:v>
                </c:pt>
                <c:pt idx="1">
                  <c:v>2017</c:v>
                </c:pt>
              </c:numCache>
            </c:numRef>
          </c:cat>
          <c:val>
            <c:numRef>
              <c:f>'[1]graf hl. nakupni misto - pečiv '!$B$5:$C$5</c:f>
              <c:numCache>
                <c:formatCode>General</c:formatCode>
                <c:ptCount val="2"/>
                <c:pt idx="0">
                  <c:v>24</c:v>
                </c:pt>
                <c:pt idx="1">
                  <c:v>15</c:v>
                </c:pt>
              </c:numCache>
            </c:numRef>
          </c:val>
          <c:extLst>
            <c:ext xmlns:c16="http://schemas.microsoft.com/office/drawing/2014/chart" uri="{C3380CC4-5D6E-409C-BE32-E72D297353CC}">
              <c16:uniqueId val="{00000003-2F0A-D442-AA9D-9CDFDB0B82BF}"/>
            </c:ext>
          </c:extLst>
        </c:ser>
        <c:ser>
          <c:idx val="4"/>
          <c:order val="4"/>
          <c:tx>
            <c:strRef>
              <c:f>'E:\SZP\Vertikála\KDŘ\[GRAFY nákupní místo dle druhu potr. 2010 a 2017_rev.xlsx]graf hl. nakupni misto - pečiv '!$A$6</c:f>
              <c:strCache>
                <c:ptCount val="1"/>
                <c:pt idx="0">
                  <c:v>Pultová/
Specializovaná 
prodejna</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pečiv '!$B$1:$C$1</c:f>
              <c:numCache>
                <c:formatCode>General</c:formatCode>
                <c:ptCount val="2"/>
                <c:pt idx="0">
                  <c:v>2010</c:v>
                </c:pt>
                <c:pt idx="1">
                  <c:v>2017</c:v>
                </c:pt>
              </c:numCache>
            </c:numRef>
          </c:cat>
          <c:val>
            <c:numRef>
              <c:f>'[1]graf hl. nakupni misto - pečiv '!$B$6:$C$6</c:f>
              <c:numCache>
                <c:formatCode>General</c:formatCode>
                <c:ptCount val="2"/>
                <c:pt idx="0">
                  <c:v>10</c:v>
                </c:pt>
                <c:pt idx="1">
                  <c:v>6</c:v>
                </c:pt>
              </c:numCache>
            </c:numRef>
          </c:val>
          <c:extLst>
            <c:ext xmlns:c16="http://schemas.microsoft.com/office/drawing/2014/chart" uri="{C3380CC4-5D6E-409C-BE32-E72D297353CC}">
              <c16:uniqueId val="{00000004-2F0A-D442-AA9D-9CDFDB0B82BF}"/>
            </c:ext>
          </c:extLst>
        </c:ser>
        <c:ser>
          <c:idx val="5"/>
          <c:order val="5"/>
          <c:tx>
            <c:strRef>
              <c:f>'E:\SZP\Vertikála\KDŘ\[GRAFY nákupní místo dle druhu potr. 2010 a 2017_rev.xlsx]graf hl. nakupni misto - pečiv '!$A$7</c:f>
              <c:strCache>
                <c:ptCount val="1"/>
                <c:pt idx="0">
                  <c:v>Jinde</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pečiv '!$B$1:$C$1</c:f>
              <c:numCache>
                <c:formatCode>General</c:formatCode>
                <c:ptCount val="2"/>
                <c:pt idx="0">
                  <c:v>2010</c:v>
                </c:pt>
                <c:pt idx="1">
                  <c:v>2017</c:v>
                </c:pt>
              </c:numCache>
            </c:numRef>
          </c:cat>
          <c:val>
            <c:numRef>
              <c:f>'[1]graf hl. nakupni misto - pečiv '!$B$7:$C$7</c:f>
              <c:numCache>
                <c:formatCode>General</c:formatCode>
                <c:ptCount val="2"/>
                <c:pt idx="0">
                  <c:v>0</c:v>
                </c:pt>
                <c:pt idx="1">
                  <c:v>0</c:v>
                </c:pt>
              </c:numCache>
            </c:numRef>
          </c:val>
          <c:extLst>
            <c:ext xmlns:c16="http://schemas.microsoft.com/office/drawing/2014/chart" uri="{C3380CC4-5D6E-409C-BE32-E72D297353CC}">
              <c16:uniqueId val="{00000005-2F0A-D442-AA9D-9CDFDB0B82BF}"/>
            </c:ext>
          </c:extLst>
        </c:ser>
        <c:dLbls>
          <c:showLegendKey val="0"/>
          <c:showVal val="1"/>
          <c:showCatName val="0"/>
          <c:showSerName val="0"/>
          <c:showPercent val="0"/>
          <c:showBubbleSize val="0"/>
        </c:dLbls>
        <c:gapWidth val="150"/>
        <c:overlap val="100"/>
        <c:axId val="144635064"/>
        <c:axId val="144635448"/>
      </c:barChart>
      <c:catAx>
        <c:axId val="14463506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cs-CZ"/>
          </a:p>
        </c:txPr>
        <c:crossAx val="144635448"/>
        <c:crosses val="autoZero"/>
        <c:auto val="1"/>
        <c:lblAlgn val="ctr"/>
        <c:lblOffset val="100"/>
        <c:noMultiLvlLbl val="0"/>
      </c:catAx>
      <c:valAx>
        <c:axId val="144635448"/>
        <c:scaling>
          <c:orientation val="minMax"/>
        </c:scaling>
        <c:delete val="1"/>
        <c:axPos val="l"/>
        <c:numFmt formatCode="General" sourceLinked="1"/>
        <c:majorTickMark val="none"/>
        <c:minorTickMark val="none"/>
        <c:tickLblPos val="none"/>
        <c:crossAx val="144635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cs-CZ"/>
        </a:p>
      </c:txPr>
    </c:legend>
    <c:plotVisOnly val="1"/>
    <c:dispBlanksAs val="gap"/>
    <c:showDLblsOverMax val="0"/>
  </c:chart>
  <c:spPr>
    <a:solidFill>
      <a:schemeClr val="bg1"/>
    </a:solidFill>
    <a:ln w="9525" cap="flat" cmpd="sng" algn="ctr">
      <a:solidFill>
        <a:sysClr val="windowText" lastClr="000000"/>
      </a:solidFill>
      <a:round/>
    </a:ln>
    <a:effectLst/>
  </c:spPr>
  <c:txPr>
    <a:bodyPr/>
    <a:lstStyle/>
    <a:p>
      <a:pPr>
        <a:spcAft>
          <a:spcPts val="300"/>
        </a:spcAft>
        <a:defRPr/>
      </a:pPr>
      <a:endParaRPr lang="cs-CZ"/>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'E:\SZP\Vertikála\KDŘ\[GRAFY nákupní místo dle druhu potr. 2010 a 2017_rev.xlsx]graf hl. nakupni misto - ovzel'!$A$2</c:f>
              <c:strCache>
                <c:ptCount val="1"/>
                <c:pt idx="0">
                  <c:v>Hypermarket</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ovzel'!$B$1:$C$1</c:f>
              <c:numCache>
                <c:formatCode>General</c:formatCode>
                <c:ptCount val="2"/>
                <c:pt idx="0">
                  <c:v>2010</c:v>
                </c:pt>
                <c:pt idx="1">
                  <c:v>2017</c:v>
                </c:pt>
              </c:numCache>
            </c:numRef>
          </c:cat>
          <c:val>
            <c:numRef>
              <c:f>'[1]graf hl. nakupni misto - ovzel'!$B$2:$C$2</c:f>
              <c:numCache>
                <c:formatCode>General</c:formatCode>
                <c:ptCount val="2"/>
                <c:pt idx="0">
                  <c:v>43</c:v>
                </c:pt>
                <c:pt idx="1">
                  <c:v>45</c:v>
                </c:pt>
              </c:numCache>
            </c:numRef>
          </c:val>
          <c:extLst>
            <c:ext xmlns:c16="http://schemas.microsoft.com/office/drawing/2014/chart" uri="{C3380CC4-5D6E-409C-BE32-E72D297353CC}">
              <c16:uniqueId val="{00000000-6DB1-6F4F-AE4B-D8EA769543BF}"/>
            </c:ext>
          </c:extLst>
        </c:ser>
        <c:ser>
          <c:idx val="1"/>
          <c:order val="1"/>
          <c:tx>
            <c:strRef>
              <c:f>'E:\SZP\Vertikála\KDŘ\[GRAFY nákupní místo dle druhu potr. 2010 a 2017_rev.xlsx]graf hl. nakupni misto - ovzel'!$A$3</c:f>
              <c:strCache>
                <c:ptCount val="1"/>
                <c:pt idx="0">
                  <c:v>Supermarket</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ovzel'!$B$1:$C$1</c:f>
              <c:numCache>
                <c:formatCode>General</c:formatCode>
                <c:ptCount val="2"/>
                <c:pt idx="0">
                  <c:v>2010</c:v>
                </c:pt>
                <c:pt idx="1">
                  <c:v>2017</c:v>
                </c:pt>
              </c:numCache>
            </c:numRef>
          </c:cat>
          <c:val>
            <c:numRef>
              <c:f>'[1]graf hl. nakupni misto - ovzel'!$B$3:$C$3</c:f>
              <c:numCache>
                <c:formatCode>General</c:formatCode>
                <c:ptCount val="2"/>
                <c:pt idx="0">
                  <c:v>15</c:v>
                </c:pt>
                <c:pt idx="1">
                  <c:v>17</c:v>
                </c:pt>
              </c:numCache>
            </c:numRef>
          </c:val>
          <c:extLst>
            <c:ext xmlns:c16="http://schemas.microsoft.com/office/drawing/2014/chart" uri="{C3380CC4-5D6E-409C-BE32-E72D297353CC}">
              <c16:uniqueId val="{00000001-6DB1-6F4F-AE4B-D8EA769543BF}"/>
            </c:ext>
          </c:extLst>
        </c:ser>
        <c:ser>
          <c:idx val="2"/>
          <c:order val="2"/>
          <c:tx>
            <c:strRef>
              <c:f>'E:\SZP\Vertikála\KDŘ\[GRAFY nákupní místo dle druhu potr. 2010 a 2017_rev.xlsx]graf hl. nakupni misto - ovzel'!$A$4</c:f>
              <c:strCache>
                <c:ptCount val="1"/>
                <c:pt idx="0">
                  <c:v>Diskont</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ovzel'!$B$1:$C$1</c:f>
              <c:numCache>
                <c:formatCode>General</c:formatCode>
                <c:ptCount val="2"/>
                <c:pt idx="0">
                  <c:v>2010</c:v>
                </c:pt>
                <c:pt idx="1">
                  <c:v>2017</c:v>
                </c:pt>
              </c:numCache>
            </c:numRef>
          </c:cat>
          <c:val>
            <c:numRef>
              <c:f>'[1]graf hl. nakupni misto - ovzel'!$B$4:$C$4</c:f>
              <c:numCache>
                <c:formatCode>General</c:formatCode>
                <c:ptCount val="2"/>
                <c:pt idx="0">
                  <c:v>27</c:v>
                </c:pt>
                <c:pt idx="1">
                  <c:v>28</c:v>
                </c:pt>
              </c:numCache>
            </c:numRef>
          </c:val>
          <c:extLst>
            <c:ext xmlns:c16="http://schemas.microsoft.com/office/drawing/2014/chart" uri="{C3380CC4-5D6E-409C-BE32-E72D297353CC}">
              <c16:uniqueId val="{00000002-6DB1-6F4F-AE4B-D8EA769543BF}"/>
            </c:ext>
          </c:extLst>
        </c:ser>
        <c:ser>
          <c:idx val="3"/>
          <c:order val="3"/>
          <c:tx>
            <c:strRef>
              <c:f>'E:\SZP\Vertikála\KDŘ\[GRAFY nákupní místo dle druhu potr. 2010 a 2017_rev.xlsx]graf hl. nakupni misto - ovzel'!$A$5</c:f>
              <c:strCache>
                <c:ptCount val="1"/>
                <c:pt idx="0">
                  <c:v>Malá samoobsluha</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ovzel'!$B$1:$C$1</c:f>
              <c:numCache>
                <c:formatCode>General</c:formatCode>
                <c:ptCount val="2"/>
                <c:pt idx="0">
                  <c:v>2010</c:v>
                </c:pt>
                <c:pt idx="1">
                  <c:v>2017</c:v>
                </c:pt>
              </c:numCache>
            </c:numRef>
          </c:cat>
          <c:val>
            <c:numRef>
              <c:f>'[1]graf hl. nakupni misto - ovzel'!$B$5:$C$5</c:f>
              <c:numCache>
                <c:formatCode>General</c:formatCode>
                <c:ptCount val="2"/>
                <c:pt idx="0">
                  <c:v>11</c:v>
                </c:pt>
                <c:pt idx="1">
                  <c:v>7</c:v>
                </c:pt>
              </c:numCache>
            </c:numRef>
          </c:val>
          <c:extLst>
            <c:ext xmlns:c16="http://schemas.microsoft.com/office/drawing/2014/chart" uri="{C3380CC4-5D6E-409C-BE32-E72D297353CC}">
              <c16:uniqueId val="{00000003-6DB1-6F4F-AE4B-D8EA769543BF}"/>
            </c:ext>
          </c:extLst>
        </c:ser>
        <c:ser>
          <c:idx val="4"/>
          <c:order val="4"/>
          <c:tx>
            <c:strRef>
              <c:f>'E:\SZP\Vertikála\KDŘ\[GRAFY nákupní místo dle druhu potr. 2010 a 2017_rev.xlsx]graf hl. nakupni misto - ovzel'!$A$6</c:f>
              <c:strCache>
                <c:ptCount val="1"/>
                <c:pt idx="0">
                  <c:v>Pultová/
Specializovaná 
prodejna</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ovzel'!$B$1:$C$1</c:f>
              <c:numCache>
                <c:formatCode>General</c:formatCode>
                <c:ptCount val="2"/>
                <c:pt idx="0">
                  <c:v>2010</c:v>
                </c:pt>
                <c:pt idx="1">
                  <c:v>2017</c:v>
                </c:pt>
              </c:numCache>
            </c:numRef>
          </c:cat>
          <c:val>
            <c:numRef>
              <c:f>'[1]graf hl. nakupni misto - ovzel'!$B$6:$C$6</c:f>
              <c:numCache>
                <c:formatCode>General</c:formatCode>
                <c:ptCount val="2"/>
                <c:pt idx="0">
                  <c:v>4</c:v>
                </c:pt>
                <c:pt idx="1">
                  <c:v>2</c:v>
                </c:pt>
              </c:numCache>
            </c:numRef>
          </c:val>
          <c:extLst>
            <c:ext xmlns:c16="http://schemas.microsoft.com/office/drawing/2014/chart" uri="{C3380CC4-5D6E-409C-BE32-E72D297353CC}">
              <c16:uniqueId val="{00000004-6DB1-6F4F-AE4B-D8EA769543BF}"/>
            </c:ext>
          </c:extLst>
        </c:ser>
        <c:ser>
          <c:idx val="5"/>
          <c:order val="5"/>
          <c:tx>
            <c:strRef>
              <c:f>'E:\SZP\Vertikála\KDŘ\[GRAFY nákupní místo dle druhu potr. 2010 a 2017_rev.xlsx]graf hl. nakupni misto - ovzel'!$A$7</c:f>
              <c:strCache>
                <c:ptCount val="1"/>
                <c:pt idx="0">
                  <c:v>Jinde</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dLbl>
              <c:idx val="0"/>
              <c:layout>
                <c:manualLayout>
                  <c:x val="0"/>
                  <c:y val="-1.9093078758949909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DB1-6F4F-AE4B-D8EA769543BF}"/>
                </c:ext>
              </c:extLst>
            </c:dLbl>
            <c:dLbl>
              <c:idx val="1"/>
              <c:layout>
                <c:manualLayout>
                  <c:x val="-1.8832391713749104E-3"/>
                  <c:y val="-1.9093078758949909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DB1-6F4F-AE4B-D8EA769543B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cs-C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'[1]graf hl. nakupni misto - ovzel'!$B$1:$C$1</c:f>
              <c:numCache>
                <c:formatCode>General</c:formatCode>
                <c:ptCount val="2"/>
                <c:pt idx="0">
                  <c:v>2010</c:v>
                </c:pt>
                <c:pt idx="1">
                  <c:v>2017</c:v>
                </c:pt>
              </c:numCache>
            </c:numRef>
          </c:cat>
          <c:val>
            <c:numRef>
              <c:f>'[1]graf hl. nakupni misto - ovzel'!$B$7:$C$7</c:f>
              <c:numCache>
                <c:formatCode>General</c:formatCode>
                <c:ptCount val="2"/>
                <c:pt idx="0">
                  <c:v>1</c:v>
                </c:pt>
                <c:pt idx="1">
                  <c:v>1</c:v>
                </c:pt>
              </c:numCache>
            </c:numRef>
          </c:val>
          <c:extLst>
            <c:ext xmlns:c16="http://schemas.microsoft.com/office/drawing/2014/chart" uri="{C3380CC4-5D6E-409C-BE32-E72D297353CC}">
              <c16:uniqueId val="{00000007-6DB1-6F4F-AE4B-D8EA769543BF}"/>
            </c:ext>
          </c:extLst>
        </c:ser>
        <c:dLbls>
          <c:showLegendKey val="0"/>
          <c:showVal val="1"/>
          <c:showCatName val="0"/>
          <c:showSerName val="0"/>
          <c:showPercent val="0"/>
          <c:showBubbleSize val="0"/>
        </c:dLbls>
        <c:gapWidth val="150"/>
        <c:overlap val="100"/>
        <c:axId val="144547432"/>
        <c:axId val="107545584"/>
      </c:barChart>
      <c:catAx>
        <c:axId val="144547432"/>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cs-CZ"/>
          </a:p>
        </c:txPr>
        <c:crossAx val="107545584"/>
        <c:crosses val="autoZero"/>
        <c:auto val="1"/>
        <c:lblAlgn val="ctr"/>
        <c:lblOffset val="100"/>
        <c:noMultiLvlLbl val="0"/>
      </c:catAx>
      <c:valAx>
        <c:axId val="107545584"/>
        <c:scaling>
          <c:orientation val="minMax"/>
        </c:scaling>
        <c:delete val="1"/>
        <c:axPos val="l"/>
        <c:numFmt formatCode="General" sourceLinked="1"/>
        <c:majorTickMark val="none"/>
        <c:minorTickMark val="none"/>
        <c:tickLblPos val="none"/>
        <c:crossAx val="1445474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cs-CZ"/>
        </a:p>
      </c:txPr>
    </c:legend>
    <c:plotVisOnly val="1"/>
    <c:dispBlanksAs val="gap"/>
    <c:showDLblsOverMax val="0"/>
  </c:chart>
  <c:spPr>
    <a:solidFill>
      <a:schemeClr val="bg1"/>
    </a:solidFill>
    <a:ln w="9525" cap="flat" cmpd="sng" algn="ctr">
      <a:solidFill>
        <a:sysClr val="windowText" lastClr="000000"/>
      </a:solidFill>
      <a:round/>
    </a:ln>
    <a:effectLst/>
  </c:spPr>
  <c:txPr>
    <a:bodyPr/>
    <a:lstStyle/>
    <a:p>
      <a:pPr>
        <a:defRPr/>
      </a:pPr>
      <a:endParaRPr lang="cs-CZ"/>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B7DCF-3273-46AA-8C90-2529CB5EB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74</Pages>
  <Words>24370</Words>
  <Characters>143789</Characters>
  <Application>Microsoft Office Word</Application>
  <DocSecurity>0</DocSecurity>
  <Lines>1198</Lines>
  <Paragraphs>335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167824</CharactersWithSpaces>
  <SharedDoc>false</SharedDoc>
  <HLinks>
    <vt:vector size="378" baseType="variant">
      <vt:variant>
        <vt:i4>1900595</vt:i4>
      </vt:variant>
      <vt:variant>
        <vt:i4>374</vt:i4>
      </vt:variant>
      <vt:variant>
        <vt:i4>0</vt:i4>
      </vt:variant>
      <vt:variant>
        <vt:i4>5</vt:i4>
      </vt:variant>
      <vt:variant>
        <vt:lpwstr/>
      </vt:variant>
      <vt:variant>
        <vt:lpwstr>_Toc80798340</vt:lpwstr>
      </vt:variant>
      <vt:variant>
        <vt:i4>1310772</vt:i4>
      </vt:variant>
      <vt:variant>
        <vt:i4>368</vt:i4>
      </vt:variant>
      <vt:variant>
        <vt:i4>0</vt:i4>
      </vt:variant>
      <vt:variant>
        <vt:i4>5</vt:i4>
      </vt:variant>
      <vt:variant>
        <vt:lpwstr/>
      </vt:variant>
      <vt:variant>
        <vt:lpwstr>_Toc80798339</vt:lpwstr>
      </vt:variant>
      <vt:variant>
        <vt:i4>1376308</vt:i4>
      </vt:variant>
      <vt:variant>
        <vt:i4>362</vt:i4>
      </vt:variant>
      <vt:variant>
        <vt:i4>0</vt:i4>
      </vt:variant>
      <vt:variant>
        <vt:i4>5</vt:i4>
      </vt:variant>
      <vt:variant>
        <vt:lpwstr/>
      </vt:variant>
      <vt:variant>
        <vt:lpwstr>_Toc80798338</vt:lpwstr>
      </vt:variant>
      <vt:variant>
        <vt:i4>1703988</vt:i4>
      </vt:variant>
      <vt:variant>
        <vt:i4>356</vt:i4>
      </vt:variant>
      <vt:variant>
        <vt:i4>0</vt:i4>
      </vt:variant>
      <vt:variant>
        <vt:i4>5</vt:i4>
      </vt:variant>
      <vt:variant>
        <vt:lpwstr/>
      </vt:variant>
      <vt:variant>
        <vt:lpwstr>_Toc80798337</vt:lpwstr>
      </vt:variant>
      <vt:variant>
        <vt:i4>1769524</vt:i4>
      </vt:variant>
      <vt:variant>
        <vt:i4>350</vt:i4>
      </vt:variant>
      <vt:variant>
        <vt:i4>0</vt:i4>
      </vt:variant>
      <vt:variant>
        <vt:i4>5</vt:i4>
      </vt:variant>
      <vt:variant>
        <vt:lpwstr/>
      </vt:variant>
      <vt:variant>
        <vt:lpwstr>_Toc80798336</vt:lpwstr>
      </vt:variant>
      <vt:variant>
        <vt:i4>1572916</vt:i4>
      </vt:variant>
      <vt:variant>
        <vt:i4>344</vt:i4>
      </vt:variant>
      <vt:variant>
        <vt:i4>0</vt:i4>
      </vt:variant>
      <vt:variant>
        <vt:i4>5</vt:i4>
      </vt:variant>
      <vt:variant>
        <vt:lpwstr/>
      </vt:variant>
      <vt:variant>
        <vt:lpwstr>_Toc80798335</vt:lpwstr>
      </vt:variant>
      <vt:variant>
        <vt:i4>1638452</vt:i4>
      </vt:variant>
      <vt:variant>
        <vt:i4>338</vt:i4>
      </vt:variant>
      <vt:variant>
        <vt:i4>0</vt:i4>
      </vt:variant>
      <vt:variant>
        <vt:i4>5</vt:i4>
      </vt:variant>
      <vt:variant>
        <vt:lpwstr/>
      </vt:variant>
      <vt:variant>
        <vt:lpwstr>_Toc80798334</vt:lpwstr>
      </vt:variant>
      <vt:variant>
        <vt:i4>1966132</vt:i4>
      </vt:variant>
      <vt:variant>
        <vt:i4>332</vt:i4>
      </vt:variant>
      <vt:variant>
        <vt:i4>0</vt:i4>
      </vt:variant>
      <vt:variant>
        <vt:i4>5</vt:i4>
      </vt:variant>
      <vt:variant>
        <vt:lpwstr/>
      </vt:variant>
      <vt:variant>
        <vt:lpwstr>_Toc80798333</vt:lpwstr>
      </vt:variant>
      <vt:variant>
        <vt:i4>2031668</vt:i4>
      </vt:variant>
      <vt:variant>
        <vt:i4>326</vt:i4>
      </vt:variant>
      <vt:variant>
        <vt:i4>0</vt:i4>
      </vt:variant>
      <vt:variant>
        <vt:i4>5</vt:i4>
      </vt:variant>
      <vt:variant>
        <vt:lpwstr/>
      </vt:variant>
      <vt:variant>
        <vt:lpwstr>_Toc80798332</vt:lpwstr>
      </vt:variant>
      <vt:variant>
        <vt:i4>1835060</vt:i4>
      </vt:variant>
      <vt:variant>
        <vt:i4>320</vt:i4>
      </vt:variant>
      <vt:variant>
        <vt:i4>0</vt:i4>
      </vt:variant>
      <vt:variant>
        <vt:i4>5</vt:i4>
      </vt:variant>
      <vt:variant>
        <vt:lpwstr/>
      </vt:variant>
      <vt:variant>
        <vt:lpwstr>_Toc80798331</vt:lpwstr>
      </vt:variant>
      <vt:variant>
        <vt:i4>1900596</vt:i4>
      </vt:variant>
      <vt:variant>
        <vt:i4>314</vt:i4>
      </vt:variant>
      <vt:variant>
        <vt:i4>0</vt:i4>
      </vt:variant>
      <vt:variant>
        <vt:i4>5</vt:i4>
      </vt:variant>
      <vt:variant>
        <vt:lpwstr/>
      </vt:variant>
      <vt:variant>
        <vt:lpwstr>_Toc80798330</vt:lpwstr>
      </vt:variant>
      <vt:variant>
        <vt:i4>1310773</vt:i4>
      </vt:variant>
      <vt:variant>
        <vt:i4>308</vt:i4>
      </vt:variant>
      <vt:variant>
        <vt:i4>0</vt:i4>
      </vt:variant>
      <vt:variant>
        <vt:i4>5</vt:i4>
      </vt:variant>
      <vt:variant>
        <vt:lpwstr/>
      </vt:variant>
      <vt:variant>
        <vt:lpwstr>_Toc80798329</vt:lpwstr>
      </vt:variant>
      <vt:variant>
        <vt:i4>1376309</vt:i4>
      </vt:variant>
      <vt:variant>
        <vt:i4>302</vt:i4>
      </vt:variant>
      <vt:variant>
        <vt:i4>0</vt:i4>
      </vt:variant>
      <vt:variant>
        <vt:i4>5</vt:i4>
      </vt:variant>
      <vt:variant>
        <vt:lpwstr/>
      </vt:variant>
      <vt:variant>
        <vt:lpwstr>_Toc80798328</vt:lpwstr>
      </vt:variant>
      <vt:variant>
        <vt:i4>1703989</vt:i4>
      </vt:variant>
      <vt:variant>
        <vt:i4>296</vt:i4>
      </vt:variant>
      <vt:variant>
        <vt:i4>0</vt:i4>
      </vt:variant>
      <vt:variant>
        <vt:i4>5</vt:i4>
      </vt:variant>
      <vt:variant>
        <vt:lpwstr/>
      </vt:variant>
      <vt:variant>
        <vt:lpwstr>_Toc80798327</vt:lpwstr>
      </vt:variant>
      <vt:variant>
        <vt:i4>1769525</vt:i4>
      </vt:variant>
      <vt:variant>
        <vt:i4>290</vt:i4>
      </vt:variant>
      <vt:variant>
        <vt:i4>0</vt:i4>
      </vt:variant>
      <vt:variant>
        <vt:i4>5</vt:i4>
      </vt:variant>
      <vt:variant>
        <vt:lpwstr/>
      </vt:variant>
      <vt:variant>
        <vt:lpwstr>_Toc80798326</vt:lpwstr>
      </vt:variant>
      <vt:variant>
        <vt:i4>1572917</vt:i4>
      </vt:variant>
      <vt:variant>
        <vt:i4>284</vt:i4>
      </vt:variant>
      <vt:variant>
        <vt:i4>0</vt:i4>
      </vt:variant>
      <vt:variant>
        <vt:i4>5</vt:i4>
      </vt:variant>
      <vt:variant>
        <vt:lpwstr/>
      </vt:variant>
      <vt:variant>
        <vt:lpwstr>_Toc80798325</vt:lpwstr>
      </vt:variant>
      <vt:variant>
        <vt:i4>1638453</vt:i4>
      </vt:variant>
      <vt:variant>
        <vt:i4>278</vt:i4>
      </vt:variant>
      <vt:variant>
        <vt:i4>0</vt:i4>
      </vt:variant>
      <vt:variant>
        <vt:i4>5</vt:i4>
      </vt:variant>
      <vt:variant>
        <vt:lpwstr/>
      </vt:variant>
      <vt:variant>
        <vt:lpwstr>_Toc80798324</vt:lpwstr>
      </vt:variant>
      <vt:variant>
        <vt:i4>1966133</vt:i4>
      </vt:variant>
      <vt:variant>
        <vt:i4>272</vt:i4>
      </vt:variant>
      <vt:variant>
        <vt:i4>0</vt:i4>
      </vt:variant>
      <vt:variant>
        <vt:i4>5</vt:i4>
      </vt:variant>
      <vt:variant>
        <vt:lpwstr/>
      </vt:variant>
      <vt:variant>
        <vt:lpwstr>_Toc80798323</vt:lpwstr>
      </vt:variant>
      <vt:variant>
        <vt:i4>2031669</vt:i4>
      </vt:variant>
      <vt:variant>
        <vt:i4>266</vt:i4>
      </vt:variant>
      <vt:variant>
        <vt:i4>0</vt:i4>
      </vt:variant>
      <vt:variant>
        <vt:i4>5</vt:i4>
      </vt:variant>
      <vt:variant>
        <vt:lpwstr/>
      </vt:variant>
      <vt:variant>
        <vt:lpwstr>_Toc80798322</vt:lpwstr>
      </vt:variant>
      <vt:variant>
        <vt:i4>1835061</vt:i4>
      </vt:variant>
      <vt:variant>
        <vt:i4>260</vt:i4>
      </vt:variant>
      <vt:variant>
        <vt:i4>0</vt:i4>
      </vt:variant>
      <vt:variant>
        <vt:i4>5</vt:i4>
      </vt:variant>
      <vt:variant>
        <vt:lpwstr/>
      </vt:variant>
      <vt:variant>
        <vt:lpwstr>_Toc80798321</vt:lpwstr>
      </vt:variant>
      <vt:variant>
        <vt:i4>1900597</vt:i4>
      </vt:variant>
      <vt:variant>
        <vt:i4>254</vt:i4>
      </vt:variant>
      <vt:variant>
        <vt:i4>0</vt:i4>
      </vt:variant>
      <vt:variant>
        <vt:i4>5</vt:i4>
      </vt:variant>
      <vt:variant>
        <vt:lpwstr/>
      </vt:variant>
      <vt:variant>
        <vt:lpwstr>_Toc80798320</vt:lpwstr>
      </vt:variant>
      <vt:variant>
        <vt:i4>1310774</vt:i4>
      </vt:variant>
      <vt:variant>
        <vt:i4>248</vt:i4>
      </vt:variant>
      <vt:variant>
        <vt:i4>0</vt:i4>
      </vt:variant>
      <vt:variant>
        <vt:i4>5</vt:i4>
      </vt:variant>
      <vt:variant>
        <vt:lpwstr/>
      </vt:variant>
      <vt:variant>
        <vt:lpwstr>_Toc80798319</vt:lpwstr>
      </vt:variant>
      <vt:variant>
        <vt:i4>1376310</vt:i4>
      </vt:variant>
      <vt:variant>
        <vt:i4>242</vt:i4>
      </vt:variant>
      <vt:variant>
        <vt:i4>0</vt:i4>
      </vt:variant>
      <vt:variant>
        <vt:i4>5</vt:i4>
      </vt:variant>
      <vt:variant>
        <vt:lpwstr/>
      </vt:variant>
      <vt:variant>
        <vt:lpwstr>_Toc80798318</vt:lpwstr>
      </vt:variant>
      <vt:variant>
        <vt:i4>1703990</vt:i4>
      </vt:variant>
      <vt:variant>
        <vt:i4>236</vt:i4>
      </vt:variant>
      <vt:variant>
        <vt:i4>0</vt:i4>
      </vt:variant>
      <vt:variant>
        <vt:i4>5</vt:i4>
      </vt:variant>
      <vt:variant>
        <vt:lpwstr/>
      </vt:variant>
      <vt:variant>
        <vt:lpwstr>_Toc80798317</vt:lpwstr>
      </vt:variant>
      <vt:variant>
        <vt:i4>1769526</vt:i4>
      </vt:variant>
      <vt:variant>
        <vt:i4>230</vt:i4>
      </vt:variant>
      <vt:variant>
        <vt:i4>0</vt:i4>
      </vt:variant>
      <vt:variant>
        <vt:i4>5</vt:i4>
      </vt:variant>
      <vt:variant>
        <vt:lpwstr/>
      </vt:variant>
      <vt:variant>
        <vt:lpwstr>_Toc80798316</vt:lpwstr>
      </vt:variant>
      <vt:variant>
        <vt:i4>1572918</vt:i4>
      </vt:variant>
      <vt:variant>
        <vt:i4>224</vt:i4>
      </vt:variant>
      <vt:variant>
        <vt:i4>0</vt:i4>
      </vt:variant>
      <vt:variant>
        <vt:i4>5</vt:i4>
      </vt:variant>
      <vt:variant>
        <vt:lpwstr/>
      </vt:variant>
      <vt:variant>
        <vt:lpwstr>_Toc80798315</vt:lpwstr>
      </vt:variant>
      <vt:variant>
        <vt:i4>1638454</vt:i4>
      </vt:variant>
      <vt:variant>
        <vt:i4>218</vt:i4>
      </vt:variant>
      <vt:variant>
        <vt:i4>0</vt:i4>
      </vt:variant>
      <vt:variant>
        <vt:i4>5</vt:i4>
      </vt:variant>
      <vt:variant>
        <vt:lpwstr/>
      </vt:variant>
      <vt:variant>
        <vt:lpwstr>_Toc80798314</vt:lpwstr>
      </vt:variant>
      <vt:variant>
        <vt:i4>1966134</vt:i4>
      </vt:variant>
      <vt:variant>
        <vt:i4>212</vt:i4>
      </vt:variant>
      <vt:variant>
        <vt:i4>0</vt:i4>
      </vt:variant>
      <vt:variant>
        <vt:i4>5</vt:i4>
      </vt:variant>
      <vt:variant>
        <vt:lpwstr/>
      </vt:variant>
      <vt:variant>
        <vt:lpwstr>_Toc80798313</vt:lpwstr>
      </vt:variant>
      <vt:variant>
        <vt:i4>2031670</vt:i4>
      </vt:variant>
      <vt:variant>
        <vt:i4>206</vt:i4>
      </vt:variant>
      <vt:variant>
        <vt:i4>0</vt:i4>
      </vt:variant>
      <vt:variant>
        <vt:i4>5</vt:i4>
      </vt:variant>
      <vt:variant>
        <vt:lpwstr/>
      </vt:variant>
      <vt:variant>
        <vt:lpwstr>_Toc80798312</vt:lpwstr>
      </vt:variant>
      <vt:variant>
        <vt:i4>1835062</vt:i4>
      </vt:variant>
      <vt:variant>
        <vt:i4>200</vt:i4>
      </vt:variant>
      <vt:variant>
        <vt:i4>0</vt:i4>
      </vt:variant>
      <vt:variant>
        <vt:i4>5</vt:i4>
      </vt:variant>
      <vt:variant>
        <vt:lpwstr/>
      </vt:variant>
      <vt:variant>
        <vt:lpwstr>_Toc80798311</vt:lpwstr>
      </vt:variant>
      <vt:variant>
        <vt:i4>1900598</vt:i4>
      </vt:variant>
      <vt:variant>
        <vt:i4>194</vt:i4>
      </vt:variant>
      <vt:variant>
        <vt:i4>0</vt:i4>
      </vt:variant>
      <vt:variant>
        <vt:i4>5</vt:i4>
      </vt:variant>
      <vt:variant>
        <vt:lpwstr/>
      </vt:variant>
      <vt:variant>
        <vt:lpwstr>_Toc80798310</vt:lpwstr>
      </vt:variant>
      <vt:variant>
        <vt:i4>1310775</vt:i4>
      </vt:variant>
      <vt:variant>
        <vt:i4>188</vt:i4>
      </vt:variant>
      <vt:variant>
        <vt:i4>0</vt:i4>
      </vt:variant>
      <vt:variant>
        <vt:i4>5</vt:i4>
      </vt:variant>
      <vt:variant>
        <vt:lpwstr/>
      </vt:variant>
      <vt:variant>
        <vt:lpwstr>_Toc80798309</vt:lpwstr>
      </vt:variant>
      <vt:variant>
        <vt:i4>1376311</vt:i4>
      </vt:variant>
      <vt:variant>
        <vt:i4>182</vt:i4>
      </vt:variant>
      <vt:variant>
        <vt:i4>0</vt:i4>
      </vt:variant>
      <vt:variant>
        <vt:i4>5</vt:i4>
      </vt:variant>
      <vt:variant>
        <vt:lpwstr/>
      </vt:variant>
      <vt:variant>
        <vt:lpwstr>_Toc80798308</vt:lpwstr>
      </vt:variant>
      <vt:variant>
        <vt:i4>1703991</vt:i4>
      </vt:variant>
      <vt:variant>
        <vt:i4>176</vt:i4>
      </vt:variant>
      <vt:variant>
        <vt:i4>0</vt:i4>
      </vt:variant>
      <vt:variant>
        <vt:i4>5</vt:i4>
      </vt:variant>
      <vt:variant>
        <vt:lpwstr/>
      </vt:variant>
      <vt:variant>
        <vt:lpwstr>_Toc80798307</vt:lpwstr>
      </vt:variant>
      <vt:variant>
        <vt:i4>1769527</vt:i4>
      </vt:variant>
      <vt:variant>
        <vt:i4>170</vt:i4>
      </vt:variant>
      <vt:variant>
        <vt:i4>0</vt:i4>
      </vt:variant>
      <vt:variant>
        <vt:i4>5</vt:i4>
      </vt:variant>
      <vt:variant>
        <vt:lpwstr/>
      </vt:variant>
      <vt:variant>
        <vt:lpwstr>_Toc80798306</vt:lpwstr>
      </vt:variant>
      <vt:variant>
        <vt:i4>1572919</vt:i4>
      </vt:variant>
      <vt:variant>
        <vt:i4>164</vt:i4>
      </vt:variant>
      <vt:variant>
        <vt:i4>0</vt:i4>
      </vt:variant>
      <vt:variant>
        <vt:i4>5</vt:i4>
      </vt:variant>
      <vt:variant>
        <vt:lpwstr/>
      </vt:variant>
      <vt:variant>
        <vt:lpwstr>_Toc80798305</vt:lpwstr>
      </vt:variant>
      <vt:variant>
        <vt:i4>1638455</vt:i4>
      </vt:variant>
      <vt:variant>
        <vt:i4>158</vt:i4>
      </vt:variant>
      <vt:variant>
        <vt:i4>0</vt:i4>
      </vt:variant>
      <vt:variant>
        <vt:i4>5</vt:i4>
      </vt:variant>
      <vt:variant>
        <vt:lpwstr/>
      </vt:variant>
      <vt:variant>
        <vt:lpwstr>_Toc80798304</vt:lpwstr>
      </vt:variant>
      <vt:variant>
        <vt:i4>1966135</vt:i4>
      </vt:variant>
      <vt:variant>
        <vt:i4>152</vt:i4>
      </vt:variant>
      <vt:variant>
        <vt:i4>0</vt:i4>
      </vt:variant>
      <vt:variant>
        <vt:i4>5</vt:i4>
      </vt:variant>
      <vt:variant>
        <vt:lpwstr/>
      </vt:variant>
      <vt:variant>
        <vt:lpwstr>_Toc80798303</vt:lpwstr>
      </vt:variant>
      <vt:variant>
        <vt:i4>2031671</vt:i4>
      </vt:variant>
      <vt:variant>
        <vt:i4>146</vt:i4>
      </vt:variant>
      <vt:variant>
        <vt:i4>0</vt:i4>
      </vt:variant>
      <vt:variant>
        <vt:i4>5</vt:i4>
      </vt:variant>
      <vt:variant>
        <vt:lpwstr/>
      </vt:variant>
      <vt:variant>
        <vt:lpwstr>_Toc80798302</vt:lpwstr>
      </vt:variant>
      <vt:variant>
        <vt:i4>1835063</vt:i4>
      </vt:variant>
      <vt:variant>
        <vt:i4>140</vt:i4>
      </vt:variant>
      <vt:variant>
        <vt:i4>0</vt:i4>
      </vt:variant>
      <vt:variant>
        <vt:i4>5</vt:i4>
      </vt:variant>
      <vt:variant>
        <vt:lpwstr/>
      </vt:variant>
      <vt:variant>
        <vt:lpwstr>_Toc80798301</vt:lpwstr>
      </vt:variant>
      <vt:variant>
        <vt:i4>1900599</vt:i4>
      </vt:variant>
      <vt:variant>
        <vt:i4>134</vt:i4>
      </vt:variant>
      <vt:variant>
        <vt:i4>0</vt:i4>
      </vt:variant>
      <vt:variant>
        <vt:i4>5</vt:i4>
      </vt:variant>
      <vt:variant>
        <vt:lpwstr/>
      </vt:variant>
      <vt:variant>
        <vt:lpwstr>_Toc80798300</vt:lpwstr>
      </vt:variant>
      <vt:variant>
        <vt:i4>1376318</vt:i4>
      </vt:variant>
      <vt:variant>
        <vt:i4>128</vt:i4>
      </vt:variant>
      <vt:variant>
        <vt:i4>0</vt:i4>
      </vt:variant>
      <vt:variant>
        <vt:i4>5</vt:i4>
      </vt:variant>
      <vt:variant>
        <vt:lpwstr/>
      </vt:variant>
      <vt:variant>
        <vt:lpwstr>_Toc80798299</vt:lpwstr>
      </vt:variant>
      <vt:variant>
        <vt:i4>1310782</vt:i4>
      </vt:variant>
      <vt:variant>
        <vt:i4>122</vt:i4>
      </vt:variant>
      <vt:variant>
        <vt:i4>0</vt:i4>
      </vt:variant>
      <vt:variant>
        <vt:i4>5</vt:i4>
      </vt:variant>
      <vt:variant>
        <vt:lpwstr/>
      </vt:variant>
      <vt:variant>
        <vt:lpwstr>_Toc80798298</vt:lpwstr>
      </vt:variant>
      <vt:variant>
        <vt:i4>1769534</vt:i4>
      </vt:variant>
      <vt:variant>
        <vt:i4>116</vt:i4>
      </vt:variant>
      <vt:variant>
        <vt:i4>0</vt:i4>
      </vt:variant>
      <vt:variant>
        <vt:i4>5</vt:i4>
      </vt:variant>
      <vt:variant>
        <vt:lpwstr/>
      </vt:variant>
      <vt:variant>
        <vt:lpwstr>_Toc80798297</vt:lpwstr>
      </vt:variant>
      <vt:variant>
        <vt:i4>1703998</vt:i4>
      </vt:variant>
      <vt:variant>
        <vt:i4>110</vt:i4>
      </vt:variant>
      <vt:variant>
        <vt:i4>0</vt:i4>
      </vt:variant>
      <vt:variant>
        <vt:i4>5</vt:i4>
      </vt:variant>
      <vt:variant>
        <vt:lpwstr/>
      </vt:variant>
      <vt:variant>
        <vt:lpwstr>_Toc80798296</vt:lpwstr>
      </vt:variant>
      <vt:variant>
        <vt:i4>1638462</vt:i4>
      </vt:variant>
      <vt:variant>
        <vt:i4>104</vt:i4>
      </vt:variant>
      <vt:variant>
        <vt:i4>0</vt:i4>
      </vt:variant>
      <vt:variant>
        <vt:i4>5</vt:i4>
      </vt:variant>
      <vt:variant>
        <vt:lpwstr/>
      </vt:variant>
      <vt:variant>
        <vt:lpwstr>_Toc80798295</vt:lpwstr>
      </vt:variant>
      <vt:variant>
        <vt:i4>1572926</vt:i4>
      </vt:variant>
      <vt:variant>
        <vt:i4>98</vt:i4>
      </vt:variant>
      <vt:variant>
        <vt:i4>0</vt:i4>
      </vt:variant>
      <vt:variant>
        <vt:i4>5</vt:i4>
      </vt:variant>
      <vt:variant>
        <vt:lpwstr/>
      </vt:variant>
      <vt:variant>
        <vt:lpwstr>_Toc80798294</vt:lpwstr>
      </vt:variant>
      <vt:variant>
        <vt:i4>2031678</vt:i4>
      </vt:variant>
      <vt:variant>
        <vt:i4>92</vt:i4>
      </vt:variant>
      <vt:variant>
        <vt:i4>0</vt:i4>
      </vt:variant>
      <vt:variant>
        <vt:i4>5</vt:i4>
      </vt:variant>
      <vt:variant>
        <vt:lpwstr/>
      </vt:variant>
      <vt:variant>
        <vt:lpwstr>_Toc80798293</vt:lpwstr>
      </vt:variant>
      <vt:variant>
        <vt:i4>1966142</vt:i4>
      </vt:variant>
      <vt:variant>
        <vt:i4>86</vt:i4>
      </vt:variant>
      <vt:variant>
        <vt:i4>0</vt:i4>
      </vt:variant>
      <vt:variant>
        <vt:i4>5</vt:i4>
      </vt:variant>
      <vt:variant>
        <vt:lpwstr/>
      </vt:variant>
      <vt:variant>
        <vt:lpwstr>_Toc80798292</vt:lpwstr>
      </vt:variant>
      <vt:variant>
        <vt:i4>1900606</vt:i4>
      </vt:variant>
      <vt:variant>
        <vt:i4>80</vt:i4>
      </vt:variant>
      <vt:variant>
        <vt:i4>0</vt:i4>
      </vt:variant>
      <vt:variant>
        <vt:i4>5</vt:i4>
      </vt:variant>
      <vt:variant>
        <vt:lpwstr/>
      </vt:variant>
      <vt:variant>
        <vt:lpwstr>_Toc80798291</vt:lpwstr>
      </vt:variant>
      <vt:variant>
        <vt:i4>1835070</vt:i4>
      </vt:variant>
      <vt:variant>
        <vt:i4>74</vt:i4>
      </vt:variant>
      <vt:variant>
        <vt:i4>0</vt:i4>
      </vt:variant>
      <vt:variant>
        <vt:i4>5</vt:i4>
      </vt:variant>
      <vt:variant>
        <vt:lpwstr/>
      </vt:variant>
      <vt:variant>
        <vt:lpwstr>_Toc80798290</vt:lpwstr>
      </vt:variant>
      <vt:variant>
        <vt:i4>1376319</vt:i4>
      </vt:variant>
      <vt:variant>
        <vt:i4>68</vt:i4>
      </vt:variant>
      <vt:variant>
        <vt:i4>0</vt:i4>
      </vt:variant>
      <vt:variant>
        <vt:i4>5</vt:i4>
      </vt:variant>
      <vt:variant>
        <vt:lpwstr/>
      </vt:variant>
      <vt:variant>
        <vt:lpwstr>_Toc80798289</vt:lpwstr>
      </vt:variant>
      <vt:variant>
        <vt:i4>1507384</vt:i4>
      </vt:variant>
      <vt:variant>
        <vt:i4>59</vt:i4>
      </vt:variant>
      <vt:variant>
        <vt:i4>0</vt:i4>
      </vt:variant>
      <vt:variant>
        <vt:i4>5</vt:i4>
      </vt:variant>
      <vt:variant>
        <vt:lpwstr/>
      </vt:variant>
      <vt:variant>
        <vt:lpwstr>_Toc80797801</vt:lpwstr>
      </vt:variant>
      <vt:variant>
        <vt:i4>1441848</vt:i4>
      </vt:variant>
      <vt:variant>
        <vt:i4>53</vt:i4>
      </vt:variant>
      <vt:variant>
        <vt:i4>0</vt:i4>
      </vt:variant>
      <vt:variant>
        <vt:i4>5</vt:i4>
      </vt:variant>
      <vt:variant>
        <vt:lpwstr/>
      </vt:variant>
      <vt:variant>
        <vt:lpwstr>_Toc80797800</vt:lpwstr>
      </vt:variant>
      <vt:variant>
        <vt:i4>1048625</vt:i4>
      </vt:variant>
      <vt:variant>
        <vt:i4>47</vt:i4>
      </vt:variant>
      <vt:variant>
        <vt:i4>0</vt:i4>
      </vt:variant>
      <vt:variant>
        <vt:i4>5</vt:i4>
      </vt:variant>
      <vt:variant>
        <vt:lpwstr/>
      </vt:variant>
      <vt:variant>
        <vt:lpwstr>_Toc80797799</vt:lpwstr>
      </vt:variant>
      <vt:variant>
        <vt:i4>1114161</vt:i4>
      </vt:variant>
      <vt:variant>
        <vt:i4>41</vt:i4>
      </vt:variant>
      <vt:variant>
        <vt:i4>0</vt:i4>
      </vt:variant>
      <vt:variant>
        <vt:i4>5</vt:i4>
      </vt:variant>
      <vt:variant>
        <vt:lpwstr/>
      </vt:variant>
      <vt:variant>
        <vt:lpwstr>_Toc80797798</vt:lpwstr>
      </vt:variant>
      <vt:variant>
        <vt:i4>1769520</vt:i4>
      </vt:variant>
      <vt:variant>
        <vt:i4>32</vt:i4>
      </vt:variant>
      <vt:variant>
        <vt:i4>0</vt:i4>
      </vt:variant>
      <vt:variant>
        <vt:i4>5</vt:i4>
      </vt:variant>
      <vt:variant>
        <vt:lpwstr/>
      </vt:variant>
      <vt:variant>
        <vt:lpwstr>_Toc80797580</vt:lpwstr>
      </vt:variant>
      <vt:variant>
        <vt:i4>1179711</vt:i4>
      </vt:variant>
      <vt:variant>
        <vt:i4>26</vt:i4>
      </vt:variant>
      <vt:variant>
        <vt:i4>0</vt:i4>
      </vt:variant>
      <vt:variant>
        <vt:i4>5</vt:i4>
      </vt:variant>
      <vt:variant>
        <vt:lpwstr/>
      </vt:variant>
      <vt:variant>
        <vt:lpwstr>_Toc80797579</vt:lpwstr>
      </vt:variant>
      <vt:variant>
        <vt:i4>1245247</vt:i4>
      </vt:variant>
      <vt:variant>
        <vt:i4>20</vt:i4>
      </vt:variant>
      <vt:variant>
        <vt:i4>0</vt:i4>
      </vt:variant>
      <vt:variant>
        <vt:i4>5</vt:i4>
      </vt:variant>
      <vt:variant>
        <vt:lpwstr/>
      </vt:variant>
      <vt:variant>
        <vt:lpwstr>_Toc80797578</vt:lpwstr>
      </vt:variant>
      <vt:variant>
        <vt:i4>1835071</vt:i4>
      </vt:variant>
      <vt:variant>
        <vt:i4>14</vt:i4>
      </vt:variant>
      <vt:variant>
        <vt:i4>0</vt:i4>
      </vt:variant>
      <vt:variant>
        <vt:i4>5</vt:i4>
      </vt:variant>
      <vt:variant>
        <vt:lpwstr/>
      </vt:variant>
      <vt:variant>
        <vt:lpwstr>_Toc80797577</vt:lpwstr>
      </vt:variant>
      <vt:variant>
        <vt:i4>1900607</vt:i4>
      </vt:variant>
      <vt:variant>
        <vt:i4>8</vt:i4>
      </vt:variant>
      <vt:variant>
        <vt:i4>0</vt:i4>
      </vt:variant>
      <vt:variant>
        <vt:i4>5</vt:i4>
      </vt:variant>
      <vt:variant>
        <vt:lpwstr/>
      </vt:variant>
      <vt:variant>
        <vt:lpwstr>_Toc80797576</vt:lpwstr>
      </vt:variant>
      <vt:variant>
        <vt:i4>1966143</vt:i4>
      </vt:variant>
      <vt:variant>
        <vt:i4>2</vt:i4>
      </vt:variant>
      <vt:variant>
        <vt:i4>0</vt:i4>
      </vt:variant>
      <vt:variant>
        <vt:i4>5</vt:i4>
      </vt:variant>
      <vt:variant>
        <vt:lpwstr/>
      </vt:variant>
      <vt:variant>
        <vt:lpwstr>_Toc80797575</vt:lpwstr>
      </vt:variant>
      <vt:variant>
        <vt:i4>458795</vt:i4>
      </vt:variant>
      <vt:variant>
        <vt:i4>0</vt:i4>
      </vt:variant>
      <vt:variant>
        <vt:i4>0</vt:i4>
      </vt:variant>
      <vt:variant>
        <vt:i4>5</vt:i4>
      </vt:variant>
      <vt:variant>
        <vt:lpwstr>https://ec.europa.eu/info/sites/info/files/food-farming-fisheries/events/improving-access-to-funding-young-farmers_en.pdf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Šimpachová Pechrová</dc:creator>
  <cp:keywords/>
  <dc:description/>
  <cp:lastModifiedBy>Kubů Alena</cp:lastModifiedBy>
  <cp:revision>243</cp:revision>
  <dcterms:created xsi:type="dcterms:W3CDTF">2021-08-24T04:31:00Z</dcterms:created>
  <dcterms:modified xsi:type="dcterms:W3CDTF">2022-01-27T07:02:00Z</dcterms:modified>
</cp:coreProperties>
</file>